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40" w:before="1800"/>
        <w:jc w:val="center"/>
      </w:pPr>
      <w:r>
        <w:rPr>
          <w:rFonts w:ascii="Arial" w:cs="Arial" w:eastAsia="Arial" w:hAnsi="Arial"/>
          <w:b/>
          <w:bCs/>
          <w:color w:val="1F4E79"/>
          <w:sz w:val="56"/>
          <w:szCs w:val="56"/>
        </w:rPr>
        <w:t xml:space="preserve">ESTRATEGIA COMERCIAL</w:t>
      </w:r>
    </w:p>
    <w:p>
      <w:pPr>
        <w:spacing w:after="120"/>
        <w:jc w:val="center"/>
      </w:pPr>
      <w:r>
        <w:rPr>
          <w:rFonts w:ascii="Arial" w:cs="Arial" w:eastAsia="Arial" w:hAnsi="Arial"/>
          <w:b/>
          <w:bCs/>
          <w:color w:val="2E75B6"/>
          <w:sz w:val="36"/>
          <w:szCs w:val="36"/>
        </w:rPr>
        <w:t xml:space="preserve">Especialización en Conflictos de Patria Potestad</w:t>
      </w:r>
    </w:p>
    <w:p>
      <w:pPr>
        <w:spacing w:after="120"/>
        <w:jc w:val="center"/>
      </w:pPr>
      <w:r>
        <w:rPr>
          <w:rFonts w:ascii="Arial" w:cs="Arial" w:eastAsia="Arial" w:hAnsi="Arial"/>
          <w:color w:val="555555"/>
          <w:sz w:val="30"/>
          <w:szCs w:val="30"/>
        </w:rPr>
        <w:t xml:space="preserve">Formación Religiosa y Sacramentos del Menor</w:t>
      </w:r>
    </w:p>
    <w:p>
      <w:pPr>
        <w:spacing w:after="120"/>
      </w:pPr>
      <w:r>
        <w:t xml:space="preserve"/>
      </w:r>
    </w:p>
    <w:p>
      <w:pPr>
        <w:spacing w:after="120"/>
      </w:pPr>
      <w:r>
        <w:t xml:space="preserve"/>
      </w:r>
    </w:p>
    <w:p>
      <w:pPr>
        <w:spacing w:after="80"/>
        <w:jc w:val="center"/>
      </w:pPr>
      <w:r>
        <w:rPr>
          <w:rFonts w:ascii="Arial" w:cs="Arial" w:eastAsia="Arial" w:hAnsi="Arial"/>
          <w:color w:val="888888"/>
          <w:sz w:val="20"/>
          <w:szCs w:val="20"/>
        </w:rPr>
        <w:t xml:space="preserve">Documento de trabajo — Uso interno del despacho</w:t>
      </w:r>
    </w:p>
    <w:p>
      <w:pPr>
        <w:spacing w:after="80"/>
        <w:jc w:val="center"/>
      </w:pPr>
      <w:r>
        <w:rPr>
          <w:rFonts w:ascii="Arial" w:cs="Arial" w:eastAsia="Arial" w:hAnsi="Arial"/>
          <w:color w:val="888888"/>
          <w:sz w:val="20"/>
          <w:szCs w:val="20"/>
        </w:rPr>
        <w:t xml:space="preserve">Abril 2026</w:t>
      </w:r>
    </w:p>
    <w:p>
      <w:r>
        <w:br w:type="page"/>
      </w:r>
    </w:p>
    <w:p>
      <w:pPr>
        <w:pStyle w:val="Heading1"/>
        <w:spacing w:after="180" w:before="360"/>
      </w:pPr>
      <w:r>
        <w:rPr>
          <w:rFonts w:ascii="Arial" w:cs="Arial" w:eastAsia="Arial" w:hAnsi="Arial"/>
          <w:b/>
          <w:bCs/>
          <w:color w:val="1F4E79"/>
          <w:sz w:val="36"/>
          <w:szCs w:val="36"/>
        </w:rPr>
        <w:t xml:space="preserve">Índice</w:t>
      </w:r>
    </w:p>
    <w:p>
      <w:pPr>
        <w:spacing w:after="120"/>
        <w:jc w:val="both"/>
      </w:pPr>
      <w:r>
        <w:rPr>
          <w:rFonts w:ascii="Arial" w:cs="Arial" w:eastAsia="Arial" w:hAnsi="Arial"/>
          <w:b w:val="false"/>
          <w:bCs w:val="false"/>
          <w:color w:val="000000"/>
          <w:sz w:val="22"/>
          <w:szCs w:val="22"/>
        </w:rPr>
        <w:t xml:space="preserve">1. Posicionamiento y propuesta de valor</w:t>
      </w:r>
    </w:p>
    <w:p>
      <w:pPr>
        <w:spacing w:after="120"/>
        <w:jc w:val="both"/>
      </w:pPr>
      <w:r>
        <w:rPr>
          <w:rFonts w:ascii="Arial" w:cs="Arial" w:eastAsia="Arial" w:hAnsi="Arial"/>
          <w:b w:val="false"/>
          <w:bCs w:val="false"/>
          <w:color w:val="000000"/>
          <w:sz w:val="22"/>
          <w:szCs w:val="22"/>
        </w:rPr>
        <w:t xml:space="preserve">2. Plan de lanzamiento a 90 días</w:t>
      </w:r>
    </w:p>
    <w:p>
      <w:pPr>
        <w:spacing w:after="120"/>
        <w:jc w:val="both"/>
      </w:pPr>
      <w:r>
        <w:rPr>
          <w:rFonts w:ascii="Arial" w:cs="Arial" w:eastAsia="Arial" w:hAnsi="Arial"/>
          <w:b w:val="false"/>
          <w:bCs w:val="false"/>
          <w:color w:val="000000"/>
          <w:sz w:val="22"/>
          <w:szCs w:val="22"/>
        </w:rPr>
        <w:t xml:space="preserve">3. Plan de contenidos / Estrategia de autoridad</w:t>
      </w:r>
    </w:p>
    <w:p>
      <w:pPr>
        <w:spacing w:after="120"/>
        <w:jc w:val="both"/>
      </w:pPr>
      <w:r>
        <w:rPr>
          <w:rFonts w:ascii="Arial" w:cs="Arial" w:eastAsia="Arial" w:hAnsi="Arial"/>
          <w:b w:val="false"/>
          <w:bCs w:val="false"/>
          <w:color w:val="000000"/>
          <w:sz w:val="22"/>
          <w:szCs w:val="22"/>
        </w:rPr>
        <w:t xml:space="preserve">4. Funnel de captación</w:t>
      </w:r>
    </w:p>
    <w:p>
      <w:pPr>
        <w:spacing w:after="120"/>
        <w:jc w:val="both"/>
      </w:pPr>
      <w:r>
        <w:rPr>
          <w:rFonts w:ascii="Arial" w:cs="Arial" w:eastAsia="Arial" w:hAnsi="Arial"/>
          <w:b w:val="false"/>
          <w:bCs w:val="false"/>
          <w:color w:val="000000"/>
          <w:sz w:val="22"/>
          <w:szCs w:val="22"/>
        </w:rPr>
        <w:t xml:space="preserve">5. Landing page — especificación lista para desarrollo</w:t>
      </w:r>
    </w:p>
    <w:p>
      <w:pPr>
        <w:spacing w:after="120"/>
        <w:jc w:val="both"/>
      </w:pPr>
      <w:r>
        <w:rPr>
          <w:rFonts w:ascii="Arial" w:cs="Arial" w:eastAsia="Arial" w:hAnsi="Arial"/>
          <w:b w:val="false"/>
          <w:bCs w:val="false"/>
          <w:color w:val="000000"/>
          <w:sz w:val="22"/>
          <w:szCs w:val="22"/>
        </w:rPr>
        <w:t xml:space="preserve">Preguntas de validación para JC</w:t>
      </w:r>
    </w:p>
    <w:p>
      <w:r>
        <w:br w:type="page"/>
      </w:r>
    </w:p>
    <w:p>
      <w:pPr>
        <w:pStyle w:val="Heading1"/>
        <w:spacing w:after="180" w:before="360"/>
      </w:pPr>
      <w:r>
        <w:rPr>
          <w:rFonts w:ascii="Arial" w:cs="Arial" w:eastAsia="Arial" w:hAnsi="Arial"/>
          <w:b/>
          <w:bCs/>
          <w:color w:val="1F4E79"/>
          <w:sz w:val="36"/>
          <w:szCs w:val="36"/>
        </w:rPr>
        <w:t xml:space="preserve">1. Posicionamiento y propuesta de valor</w:t>
      </w:r>
    </w:p>
    <w:p>
      <w:pPr>
        <w:pStyle w:val="Heading2"/>
        <w:spacing w:after="120" w:before="280"/>
      </w:pPr>
      <w:r>
        <w:rPr>
          <w:rFonts w:ascii="Arial" w:cs="Arial" w:eastAsia="Arial" w:hAnsi="Arial"/>
          <w:b/>
          <w:bCs/>
          <w:color w:val="2E75B6"/>
          <w:sz w:val="28"/>
          <w:szCs w:val="28"/>
        </w:rPr>
        <w:t xml:space="preserve">1.1 Nicho delimitado</w:t>
      </w:r>
    </w:p>
    <w:tbl>
      <w:tblPr>
        <w:tblW w:type="dxa" w:w="9906"/>
        <w:tblBorders>
          <w:top w:val="single" w:color="auto" w:sz="4"/>
          <w:left w:val="single" w:color="auto" w:sz="4"/>
          <w:bottom w:val="single" w:color="auto" w:sz="4"/>
          <w:right w:val="single" w:color="auto" w:sz="4"/>
          <w:insideH w:val="single" w:color="auto" w:sz="4"/>
          <w:insideV w:val="single" w:color="auto" w:sz="4"/>
        </w:tblBorders>
      </w:tblPr>
      <w:tblGrid>
        <w:gridCol w:w="9906"/>
      </w:tblGrid>
      <w:tr>
        <w:tc>
          <w:tcPr>
            <w:tcW w:type="dxa" w:w="9906"/>
            <w:tcBorders>
              <w:top w:val="single" w:color="2E75B6" w:sz="4"/>
              <w:left w:val="single" w:color="2E75B6" w:sz="8"/>
              <w:bottom w:val="single" w:color="2E75B6" w:sz="4"/>
              <w:right w:val="none" w:color="FFFFFF" w:sz="0"/>
            </w:tcBorders>
            <w:shd w:fill="EEF2F7" w:val="clear"/>
            <w:tcMar>
              <w:top w:type="dxa" w:w="120"/>
              <w:left w:type="dxa" w:w="180"/>
              <w:bottom w:type="dxa" w:w="120"/>
              <w:right w:type="dxa" w:w="120"/>
            </w:tcMar>
          </w:tcPr>
          <w:p>
            <w:pPr>
              <w:spacing w:after="60"/>
            </w:pPr>
            <w:r>
              <w:rPr>
                <w:rFonts w:ascii="Arial" w:cs="Arial" w:eastAsia="Arial" w:hAnsi="Arial"/>
                <w:color w:val="1F4E79"/>
                <w:sz w:val="22"/>
                <w:szCs w:val="22"/>
              </w:rPr>
              <w:t xml:space="preserve">Abogado/a especializado/a en disputas entre progenitores con patria potestad conjunta sobre</w:t>
            </w:r>
          </w:p>
          <w:p>
            <w:pPr>
              <w:spacing w:after="60"/>
            </w:pPr>
            <w:r>
              <w:rPr>
                <w:rFonts w:ascii="Arial" w:cs="Arial" w:eastAsia="Arial" w:hAnsi="Arial"/>
                <w:color w:val="1F4E79"/>
                <w:sz w:val="22"/>
                <w:szCs w:val="22"/>
              </w:rPr>
              <w:t xml:space="preserve">formación religiosa, sacramentos (Primera Comunión, Bautismo) y educación en valores del menor,</w:t>
            </w:r>
          </w:p>
          <w:p>
            <w:pPr>
              <w:spacing w:after="60"/>
            </w:pPr>
            <w:r>
              <w:rPr>
                <w:rFonts w:ascii="Arial" w:cs="Arial" w:eastAsia="Arial" w:hAnsi="Arial"/>
                <w:color w:val="1F4E79"/>
                <w:sz w:val="22"/>
                <w:szCs w:val="22"/>
              </w:rPr>
              <w:t xml:space="preserve">con capacidad de actuar en la vía extrajudicial, mediación y expediente de jurisdicción voluntaria (art. 156 CC).</w:t>
            </w:r>
          </w:p>
        </w:tc>
      </w:tr>
    </w:tbl>
    <w:p>
      <w:pPr>
        <w:spacing w:after="120"/>
      </w:pPr>
      <w:r>
        <w:t xml:space="preserve"/>
      </w:r>
    </w:p>
    <w:p>
      <w:pPr>
        <w:spacing w:after="120"/>
        <w:jc w:val="both"/>
      </w:pPr>
      <w:r>
        <w:rPr>
          <w:rFonts w:ascii="Arial" w:cs="Arial" w:eastAsia="Arial" w:hAnsi="Arial"/>
          <w:b/>
          <w:bCs/>
          <w:sz w:val="22"/>
          <w:szCs w:val="22"/>
        </w:rPr>
        <w:t xml:space="preserve">Fuente: </w:t>
      </w:r>
      <w:r>
        <w:rPr>
          <w:rFonts w:ascii="Arial" w:cs="Arial" w:eastAsia="Arial" w:hAnsi="Arial"/>
          <w:color w:val="555555"/>
          <w:sz w:val="22"/>
          <w:szCs w:val="22"/>
        </w:rPr>
        <w:t xml:space="preserve">Estrategia_Patria_Potestad_Formacion_Religiosa.pdf, apartado I (Marco jurídico) y apartado II (Mapa de escenarios). La STS 465/2015, 9-sep establece expresamente que la Primera Comunión y el Bautismo son actos de patria potestad conjunta, no actos ordinarios de la vida del menor.</w:t>
      </w:r>
    </w:p>
    <w:p>
      <w:pPr>
        <w:spacing w:after="120"/>
      </w:pPr>
      <w:r>
        <w:t xml:space="preserve"/>
      </w:r>
    </w:p>
    <w:p>
      <w:pPr>
        <w:pStyle w:val="Heading2"/>
        <w:spacing w:after="120" w:before="280"/>
      </w:pPr>
      <w:r>
        <w:rPr>
          <w:rFonts w:ascii="Arial" w:cs="Arial" w:eastAsia="Arial" w:hAnsi="Arial"/>
          <w:b/>
          <w:bCs/>
          <w:color w:val="2E75B6"/>
          <w:sz w:val="28"/>
          <w:szCs w:val="28"/>
        </w:rPr>
        <w:t xml:space="preserve">1.2 Buyer persona primaria</w:t>
      </w:r>
    </w:p>
    <w:tbl>
      <w:tblPr>
        <w:tblW w:type="dxa" w:w="9800"/>
        <w:tblBorders>
          <w:top w:val="single" w:color="auto" w:sz="4"/>
          <w:left w:val="single" w:color="auto" w:sz="4"/>
          <w:bottom w:val="single" w:color="auto" w:sz="4"/>
          <w:right w:val="single" w:color="auto" w:sz="4"/>
          <w:insideH w:val="single" w:color="auto" w:sz="4"/>
          <w:insideV w:val="single" w:color="auto" w:sz="4"/>
        </w:tblBorders>
      </w:tblPr>
      <w:tblGrid>
        <w:gridCol w:w="2800"/>
        <w:gridCol w:w="7000"/>
      </w:tblGrid>
      <w:tr>
        <w:trPr>
          <w:tblHeader/>
        </w:trPr>
        <w:tc>
          <w:tcPr>
            <w:tcW w:type="dxa" w:w="2800"/>
            <w:tcBorders>
              <w:top w:val="single" w:color="AAAAAA" w:sz="1"/>
              <w:left w:val="single" w:color="AAAAAA" w:sz="1"/>
              <w:bottom w:val="single" w:color="AAAAAA" w:sz="1"/>
              <w:right w:val="single" w:color="AAAAAA" w:sz="1"/>
            </w:tcBorders>
            <w:shd w:fill="1F4E79" w:val="clear"/>
            <w:tcMar>
              <w:top w:type="dxa" w:w="80"/>
              <w:left w:type="dxa" w:w="120"/>
              <w:bottom w:type="dxa" w:w="80"/>
              <w:right w:type="dxa" w:w="120"/>
            </w:tcMar>
            <w:vAlign w:val="center"/>
          </w:tcPr>
          <w:p>
            <w:pPr>
              <w:jc w:val="center"/>
            </w:pPr>
            <w:r>
              <w:rPr>
                <w:rFonts w:ascii="Arial" w:cs="Arial" w:eastAsia="Arial" w:hAnsi="Arial"/>
                <w:b/>
                <w:bCs/>
                <w:color w:val="FFFFFF"/>
                <w:sz w:val="20"/>
                <w:szCs w:val="20"/>
              </w:rPr>
              <w:t xml:space="preserve">Dimensión</w:t>
            </w:r>
          </w:p>
        </w:tc>
        <w:tc>
          <w:tcPr>
            <w:tcW w:type="dxa" w:w="7000"/>
            <w:tcBorders>
              <w:top w:val="single" w:color="AAAAAA" w:sz="1"/>
              <w:left w:val="single" w:color="AAAAAA" w:sz="1"/>
              <w:bottom w:val="single" w:color="AAAAAA" w:sz="1"/>
              <w:right w:val="single" w:color="AAAAAA" w:sz="1"/>
            </w:tcBorders>
            <w:shd w:fill="1F4E79" w:val="clear"/>
            <w:tcMar>
              <w:top w:type="dxa" w:w="80"/>
              <w:left w:type="dxa" w:w="120"/>
              <w:bottom w:type="dxa" w:w="80"/>
              <w:right w:type="dxa" w:w="120"/>
            </w:tcMar>
            <w:vAlign w:val="center"/>
          </w:tcPr>
          <w:p>
            <w:pPr>
              <w:jc w:val="center"/>
            </w:pPr>
            <w:r>
              <w:rPr>
                <w:rFonts w:ascii="Arial" w:cs="Arial" w:eastAsia="Arial" w:hAnsi="Arial"/>
                <w:b/>
                <w:bCs/>
                <w:color w:val="FFFFFF"/>
                <w:sz w:val="20"/>
                <w:szCs w:val="20"/>
              </w:rPr>
              <w:t xml:space="preserve">Descripción</w:t>
            </w:r>
          </w:p>
        </w:tc>
      </w:tr>
      <w:tr>
        <w:tc>
          <w:tcPr>
            <w:tcW w:type="dxa" w:w="280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tcPr>
          <w:p>
            <w:r>
              <w:rPr>
                <w:rFonts w:ascii="Arial" w:cs="Arial" w:eastAsia="Arial" w:hAnsi="Arial"/>
                <w:sz w:val="20"/>
                <w:szCs w:val="20"/>
              </w:rPr>
              <w:t xml:space="preserve">Perfil demográfico</w:t>
            </w:r>
          </w:p>
        </w:tc>
        <w:tc>
          <w:tcPr>
            <w:tcW w:type="dxa" w:w="700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tcPr>
          <w:p>
            <w:r>
              <w:rPr>
                <w:rFonts w:ascii="Arial" w:cs="Arial" w:eastAsia="Arial" w:hAnsi="Arial"/>
                <w:sz w:val="20"/>
                <w:szCs w:val="20"/>
              </w:rPr>
              <w:t xml:space="preserve">Progenitor/a (madre o padre) de 32-50 años, con hijos de 6-14 años. Separado/a o divorciado/a, con patria potestad conjunta y custodia individual o compartida. Clase media, nivel formativo medio-alto.</w:t>
            </w:r>
          </w:p>
        </w:tc>
      </w:tr>
      <w:tr>
        <w:tc>
          <w:tcPr>
            <w:tcW w:type="dxa" w:w="2800"/>
            <w:tcBorders>
              <w:top w:val="single" w:color="AAAAAA" w:sz="1"/>
              <w:left w:val="single" w:color="AAAAAA" w:sz="1"/>
              <w:bottom w:val="single" w:color="AAAAAA" w:sz="1"/>
              <w:right w:val="single" w:color="AAAAAA" w:sz="1"/>
            </w:tcBorders>
            <w:shd w:fill="F0F4FA" w:val="clear"/>
            <w:tcMar>
              <w:top w:type="dxa" w:w="80"/>
              <w:left w:type="dxa" w:w="120"/>
              <w:bottom w:type="dxa" w:w="80"/>
              <w:right w:type="dxa" w:w="120"/>
            </w:tcMar>
          </w:tcPr>
          <w:p>
            <w:r>
              <w:rPr>
                <w:rFonts w:ascii="Arial" w:cs="Arial" w:eastAsia="Arial" w:hAnsi="Arial"/>
                <w:sz w:val="20"/>
                <w:szCs w:val="20"/>
              </w:rPr>
              <w:t xml:space="preserve">Situación emocional</w:t>
            </w:r>
          </w:p>
        </w:tc>
        <w:tc>
          <w:tcPr>
            <w:tcW w:type="dxa" w:w="7000"/>
            <w:tcBorders>
              <w:top w:val="single" w:color="AAAAAA" w:sz="1"/>
              <w:left w:val="single" w:color="AAAAAA" w:sz="1"/>
              <w:bottom w:val="single" w:color="AAAAAA" w:sz="1"/>
              <w:right w:val="single" w:color="AAAAAA" w:sz="1"/>
            </w:tcBorders>
            <w:shd w:fill="F0F4FA" w:val="clear"/>
            <w:tcMar>
              <w:top w:type="dxa" w:w="80"/>
              <w:left w:type="dxa" w:w="120"/>
              <w:bottom w:type="dxa" w:w="80"/>
              <w:right w:type="dxa" w:w="120"/>
            </w:tcMar>
          </w:tcPr>
          <w:p>
            <w:r>
              <w:rPr>
                <w:rFonts w:ascii="Arial" w:cs="Arial" w:eastAsia="Arial" w:hAnsi="Arial"/>
                <w:sz w:val="20"/>
                <w:szCs w:val="20"/>
              </w:rPr>
              <w:t xml:space="preserve">Mezcla de angustia, rabia e impotencia. Siente que el otro progenitor está tomando decisiones vitales sobre su hijo/a sin consultarle (o viceversa). Teme el conflicto judicial pero también la pérdida de autoridad parental. Alta carga de culpa si percibe que el litigio daña al menor.</w:t>
            </w:r>
          </w:p>
        </w:tc>
      </w:tr>
      <w:tr>
        <w:tc>
          <w:tcPr>
            <w:tcW w:type="dxa" w:w="280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tcPr>
          <w:p>
            <w:r>
              <w:rPr>
                <w:rFonts w:ascii="Arial" w:cs="Arial" w:eastAsia="Arial" w:hAnsi="Arial"/>
                <w:sz w:val="20"/>
                <w:szCs w:val="20"/>
              </w:rPr>
              <w:t xml:space="preserve">Búsquedas típicas en Google</w:t>
            </w:r>
          </w:p>
        </w:tc>
        <w:tc>
          <w:tcPr>
            <w:tcW w:type="dxa" w:w="700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tcPr>
          <w:p>
            <w:r>
              <w:rPr>
                <w:rFonts w:ascii="Arial" w:cs="Arial" w:eastAsia="Arial" w:hAnsi="Arial"/>
                <w:sz w:val="20"/>
                <w:szCs w:val="20"/>
              </w:rPr>
              <w:t xml:space="preserve">'puede un padre impedir la primera comunión'; 'patria potestad conjunta formación religiosa'; 'artículo 156 código civil desacuerdo'; 'burofax primera comunión abogado'; 'jurisdicción voluntaria religion menor'; 'STS primera comunión patria potestad'; 'mi ex ha inscrito a mi hijo en catequesis sin avisarme'.</w:t>
            </w:r>
          </w:p>
        </w:tc>
      </w:tr>
      <w:tr>
        <w:tc>
          <w:tcPr>
            <w:tcW w:type="dxa" w:w="2800"/>
            <w:tcBorders>
              <w:top w:val="single" w:color="AAAAAA" w:sz="1"/>
              <w:left w:val="single" w:color="AAAAAA" w:sz="1"/>
              <w:bottom w:val="single" w:color="AAAAAA" w:sz="1"/>
              <w:right w:val="single" w:color="AAAAAA" w:sz="1"/>
            </w:tcBorders>
            <w:shd w:fill="F0F4FA" w:val="clear"/>
            <w:tcMar>
              <w:top w:type="dxa" w:w="80"/>
              <w:left w:type="dxa" w:w="120"/>
              <w:bottom w:type="dxa" w:w="80"/>
              <w:right w:type="dxa" w:w="120"/>
            </w:tcMar>
          </w:tcPr>
          <w:p>
            <w:r>
              <w:rPr>
                <w:rFonts w:ascii="Arial" w:cs="Arial" w:eastAsia="Arial" w:hAnsi="Arial"/>
                <w:sz w:val="20"/>
                <w:szCs w:val="20"/>
              </w:rPr>
              <w:t xml:space="preserve">Objeciones principales</w:t>
            </w:r>
          </w:p>
        </w:tc>
        <w:tc>
          <w:tcPr>
            <w:tcW w:type="dxa" w:w="7000"/>
            <w:tcBorders>
              <w:top w:val="single" w:color="AAAAAA" w:sz="1"/>
              <w:left w:val="single" w:color="AAAAAA" w:sz="1"/>
              <w:bottom w:val="single" w:color="AAAAAA" w:sz="1"/>
              <w:right w:val="single" w:color="AAAAAA" w:sz="1"/>
            </w:tcBorders>
            <w:shd w:fill="F0F4FA" w:val="clear"/>
            <w:tcMar>
              <w:top w:type="dxa" w:w="80"/>
              <w:left w:type="dxa" w:w="120"/>
              <w:bottom w:type="dxa" w:w="80"/>
              <w:right w:type="dxa" w:w="120"/>
            </w:tcMar>
          </w:tcPr>
          <w:p>
            <w:r>
              <w:rPr>
                <w:rFonts w:ascii="Arial" w:cs="Arial" w:eastAsia="Arial" w:hAnsi="Arial"/>
                <w:sz w:val="20"/>
                <w:szCs w:val="20"/>
              </w:rPr>
              <w:t xml:space="preserve">1) 'Es un asunto de familia, no quiero judicializar'. 2) 'Los abogados son caros y esto se puede hablar'. 3) 'No sé si tengo razón legal o solo razón moral'. 4) 'Si voy al juzgado perjudico a mi hijo'. 5) 'Pensé que la religión era cosa de quien tiene la custodia'.</w:t>
            </w:r>
          </w:p>
        </w:tc>
      </w:tr>
      <w:tr>
        <w:tc>
          <w:tcPr>
            <w:tcW w:type="dxa" w:w="280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tcPr>
          <w:p>
            <w:r>
              <w:rPr>
                <w:rFonts w:ascii="Arial" w:cs="Arial" w:eastAsia="Arial" w:hAnsi="Arial"/>
                <w:sz w:val="20"/>
                <w:szCs w:val="20"/>
              </w:rPr>
              <w:t xml:space="preserve">Momento de búsqueda</w:t>
            </w:r>
          </w:p>
        </w:tc>
        <w:tc>
          <w:tcPr>
            <w:tcW w:type="dxa" w:w="700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tcPr>
          <w:p>
            <w:r>
              <w:rPr>
                <w:rFonts w:ascii="Arial" w:cs="Arial" w:eastAsia="Arial" w:hAnsi="Arial"/>
                <w:sz w:val="20"/>
                <w:szCs w:val="20"/>
              </w:rPr>
              <w:t xml:space="preserve">Tras recibir un burofax del otro letrado, tras descubrir que el hijo fue bautizado/inscrito en catequesis sin su consentimiento, o al inicio de una disputa que escala. Alta urgencia: busca respuesta en 24-72 horas.</w:t>
            </w:r>
          </w:p>
        </w:tc>
      </w:tr>
    </w:tbl>
    <w:p>
      <w:pPr>
        <w:spacing w:after="120"/>
      </w:pPr>
      <w:r>
        <w:t xml:space="preserve"/>
      </w:r>
    </w:p>
    <w:p>
      <w:pPr>
        <w:pStyle w:val="Heading2"/>
        <w:spacing w:after="120" w:before="280"/>
      </w:pPr>
      <w:r>
        <w:rPr>
          <w:rFonts w:ascii="Arial" w:cs="Arial" w:eastAsia="Arial" w:hAnsi="Arial"/>
          <w:b/>
          <w:bCs/>
          <w:color w:val="2E75B6"/>
          <w:sz w:val="28"/>
          <w:szCs w:val="28"/>
        </w:rPr>
        <w:t xml:space="preserve">1.3 Propuesta de valor única</w:t>
      </w:r>
    </w:p>
    <w:tbl>
      <w:tblPr>
        <w:tblW w:type="dxa" w:w="9906"/>
        <w:tblBorders>
          <w:top w:val="single" w:color="auto" w:sz="4"/>
          <w:left w:val="single" w:color="auto" w:sz="4"/>
          <w:bottom w:val="single" w:color="auto" w:sz="4"/>
          <w:right w:val="single" w:color="auto" w:sz="4"/>
          <w:insideH w:val="single" w:color="auto" w:sz="4"/>
          <w:insideV w:val="single" w:color="auto" w:sz="4"/>
        </w:tblBorders>
      </w:tblPr>
      <w:tblGrid>
        <w:gridCol w:w="9906"/>
      </w:tblGrid>
      <w:tr>
        <w:tc>
          <w:tcPr>
            <w:tcW w:type="dxa" w:w="9906"/>
            <w:tcBorders>
              <w:top w:val="single" w:color="2E75B6" w:sz="4"/>
              <w:left w:val="single" w:color="2E75B6" w:sz="8"/>
              <w:bottom w:val="single" w:color="2E75B6" w:sz="4"/>
              <w:right w:val="none" w:color="FFFFFF" w:sz="0"/>
            </w:tcBorders>
            <w:shd w:fill="EEF2F7" w:val="clear"/>
            <w:tcMar>
              <w:top w:type="dxa" w:w="120"/>
              <w:left w:type="dxa" w:w="180"/>
              <w:bottom w:type="dxa" w:w="120"/>
              <w:right w:type="dxa" w:w="120"/>
            </w:tcMar>
          </w:tcPr>
          <w:p>
            <w:pPr>
              <w:spacing w:after="60"/>
            </w:pPr>
            <w:r>
              <w:rPr>
                <w:rFonts w:ascii="Arial" w:cs="Arial" w:eastAsia="Arial" w:hAnsi="Arial"/>
                <w:color w:val="1F4E79"/>
                <w:sz w:val="22"/>
                <w:szCs w:val="22"/>
              </w:rPr>
              <w:t xml:space="preserve">Ayudamos a padres y madres que tienen la patria potestad compartida y descubren que el otro</w:t>
            </w:r>
          </w:p>
          <w:p>
            <w:pPr>
              <w:spacing w:after="60"/>
            </w:pPr>
            <w:r>
              <w:rPr>
                <w:rFonts w:ascii="Arial" w:cs="Arial" w:eastAsia="Arial" w:hAnsi="Arial"/>
                <w:color w:val="1F4E79"/>
                <w:sz w:val="22"/>
                <w:szCs w:val="22"/>
              </w:rPr>
              <w:t xml:space="preserve">progenitor esta tomando decisiones religiosas sobre sus hijos sin su consentimiento, a recuperar</w:t>
            </w:r>
          </w:p>
          <w:p>
            <w:pPr>
              <w:spacing w:after="60"/>
            </w:pPr>
            <w:r>
              <w:rPr>
                <w:rFonts w:ascii="Arial" w:cs="Arial" w:eastAsia="Arial" w:hAnsi="Arial"/>
                <w:color w:val="1F4E79"/>
                <w:sz w:val="22"/>
                <w:szCs w:val="22"/>
              </w:rPr>
              <w:t xml:space="preserve">su voz en esas decisiones a traves del dialogo, la mediacion o la via judicial, sin convertir</w:t>
            </w:r>
          </w:p>
          <w:p>
            <w:pPr>
              <w:spacing w:after="60"/>
            </w:pPr>
            <w:r>
              <w:rPr>
                <w:rFonts w:ascii="Arial" w:cs="Arial" w:eastAsia="Arial" w:hAnsi="Arial"/>
                <w:color w:val="1F4E79"/>
                <w:sz w:val="22"/>
                <w:szCs w:val="22"/>
              </w:rPr>
              <w:t xml:space="preserve">el conflicto en una guerra que acabe pagando su hijo/a.</w:t>
            </w:r>
          </w:p>
        </w:tc>
      </w:tr>
    </w:tbl>
    <w:p>
      <w:pPr>
        <w:spacing w:after="120"/>
      </w:pPr>
      <w:r>
        <w:t xml:space="preserve"/>
      </w:r>
    </w:p>
    <w:p>
      <w:pPr>
        <w:pStyle w:val="Heading2"/>
        <w:spacing w:after="120" w:before="280"/>
      </w:pPr>
      <w:r>
        <w:rPr>
          <w:rFonts w:ascii="Arial" w:cs="Arial" w:eastAsia="Arial" w:hAnsi="Arial"/>
          <w:b/>
          <w:bCs/>
          <w:color w:val="2E75B6"/>
          <w:sz w:val="28"/>
          <w:szCs w:val="28"/>
        </w:rPr>
        <w:t xml:space="preserve">1.4 Mensajes-pilar (repetir en todo el contenido)</w:t>
      </w:r>
    </w:p>
    <w:p>
      <w:pPr>
        <w:pStyle w:val="ListParagraph"/>
        <w:numPr>
          <w:ilvl w:val="0"/>
          <w:numId w:val="2"/>
        </w:numPr>
        <w:spacing w:after="80"/>
      </w:pPr>
      <w:r>
        <w:rPr>
          <w:rFonts w:ascii="Arial" w:cs="Arial" w:eastAsia="Arial" w:hAnsi="Arial"/>
          <w:sz w:val="22"/>
          <w:szCs w:val="22"/>
        </w:rPr>
        <w:t xml:space="preserve">La religión de tu hijo es una decisión de los dos. El Tribunal Supremo lo ha dejado claro: bautizar a un menor o inscribirle en catequesis sin acuerdo del otro progenitor puede ser ilegal. No es una opinión: es jurisprudencia.</w:t>
      </w:r>
    </w:p>
    <w:p>
      <w:pPr>
        <w:pStyle w:val="ListParagraph"/>
        <w:numPr>
          <w:ilvl w:val="0"/>
          <w:numId w:val="2"/>
        </w:numPr>
        <w:spacing w:after="80"/>
      </w:pPr>
      <w:r>
        <w:rPr>
          <w:rFonts w:ascii="Arial" w:cs="Arial" w:eastAsia="Arial" w:hAnsi="Arial"/>
          <w:sz w:val="22"/>
          <w:szCs w:val="22"/>
        </w:rPr>
        <w:t xml:space="preserve">Tienes opciones antes del juzgado. Desde un burofax bien redactado hasta la mediación familiar o el expediente de jurisdicción voluntaria, existen vías proporcionadas a la urgencia y al daño que quieres evitar.</w:t>
      </w:r>
    </w:p>
    <w:p>
      <w:pPr>
        <w:pStyle w:val="ListParagraph"/>
        <w:numPr>
          <w:ilvl w:val="0"/>
          <w:numId w:val="2"/>
        </w:numPr>
        <w:spacing w:after="80"/>
      </w:pPr>
      <w:r>
        <w:rPr>
          <w:rFonts w:ascii="Arial" w:cs="Arial" w:eastAsia="Arial" w:hAnsi="Arial"/>
          <w:sz w:val="22"/>
          <w:szCs w:val="22"/>
        </w:rPr>
        <w:t xml:space="preserve">El interés de tu hijo/a es el centro, no el tuyo. Un buen abogado en este tipo de casos no solo gana el argumento legal: consigue que la solución proteja al menor, respete su voluntad y preserve la relación coparental en la medida de lo posible.</w:t>
      </w:r>
    </w:p>
    <w:p>
      <w:pPr>
        <w:spacing w:after="120"/>
      </w:pPr>
      <w:r>
        <w:t xml:space="preserve"/>
      </w:r>
    </w:p>
    <w:p>
      <w:pPr>
        <w:pStyle w:val="Heading2"/>
        <w:spacing w:after="120" w:before="280"/>
      </w:pPr>
      <w:r>
        <w:rPr>
          <w:rFonts w:ascii="Arial" w:cs="Arial" w:eastAsia="Arial" w:hAnsi="Arial"/>
          <w:b/>
          <w:bCs/>
          <w:color w:val="2E75B6"/>
          <w:sz w:val="28"/>
          <w:szCs w:val="28"/>
        </w:rPr>
        <w:t xml:space="preserve">1.5 Tres diferenciadores frente al abogado de familia generalista</w:t>
      </w:r>
    </w:p>
    <w:tbl>
      <w:tblPr>
        <w:tblW w:type="dxa" w:w="9800"/>
        <w:tblBorders>
          <w:top w:val="single" w:color="auto" w:sz="4"/>
          <w:left w:val="single" w:color="auto" w:sz="4"/>
          <w:bottom w:val="single" w:color="auto" w:sz="4"/>
          <w:right w:val="single" w:color="auto" w:sz="4"/>
          <w:insideH w:val="single" w:color="auto" w:sz="4"/>
          <w:insideV w:val="single" w:color="auto" w:sz="4"/>
        </w:tblBorders>
      </w:tblPr>
      <w:tblGrid>
        <w:gridCol w:w="2800"/>
        <w:gridCol w:w="3200"/>
        <w:gridCol w:w="3800"/>
      </w:tblGrid>
      <w:tr>
        <w:trPr>
          <w:tblHeader/>
        </w:trPr>
        <w:tc>
          <w:tcPr>
            <w:tcW w:type="dxa" w:w="2800"/>
            <w:tcBorders>
              <w:top w:val="single" w:color="AAAAAA" w:sz="1"/>
              <w:left w:val="single" w:color="AAAAAA" w:sz="1"/>
              <w:bottom w:val="single" w:color="AAAAAA" w:sz="1"/>
              <w:right w:val="single" w:color="AAAAAA" w:sz="1"/>
            </w:tcBorders>
            <w:shd w:fill="1F4E79" w:val="clear"/>
            <w:tcMar>
              <w:top w:type="dxa" w:w="80"/>
              <w:left w:type="dxa" w:w="120"/>
              <w:bottom w:type="dxa" w:w="80"/>
              <w:right w:type="dxa" w:w="120"/>
            </w:tcMar>
            <w:vAlign w:val="center"/>
          </w:tcPr>
          <w:p>
            <w:pPr>
              <w:jc w:val="center"/>
            </w:pPr>
            <w:r>
              <w:rPr>
                <w:rFonts w:ascii="Arial" w:cs="Arial" w:eastAsia="Arial" w:hAnsi="Arial"/>
                <w:b/>
                <w:bCs/>
                <w:color w:val="FFFFFF"/>
                <w:sz w:val="20"/>
                <w:szCs w:val="20"/>
              </w:rPr>
              <w:t xml:space="preserve">Diferenciador</w:t>
            </w:r>
          </w:p>
        </w:tc>
        <w:tc>
          <w:tcPr>
            <w:tcW w:type="dxa" w:w="3200"/>
            <w:tcBorders>
              <w:top w:val="single" w:color="AAAAAA" w:sz="1"/>
              <w:left w:val="single" w:color="AAAAAA" w:sz="1"/>
              <w:bottom w:val="single" w:color="AAAAAA" w:sz="1"/>
              <w:right w:val="single" w:color="AAAAAA" w:sz="1"/>
            </w:tcBorders>
            <w:shd w:fill="1F4E79" w:val="clear"/>
            <w:tcMar>
              <w:top w:type="dxa" w:w="80"/>
              <w:left w:type="dxa" w:w="120"/>
              <w:bottom w:type="dxa" w:w="80"/>
              <w:right w:type="dxa" w:w="120"/>
            </w:tcMar>
            <w:vAlign w:val="center"/>
          </w:tcPr>
          <w:p>
            <w:pPr>
              <w:jc w:val="center"/>
            </w:pPr>
            <w:r>
              <w:rPr>
                <w:rFonts w:ascii="Arial" w:cs="Arial" w:eastAsia="Arial" w:hAnsi="Arial"/>
                <w:b/>
                <w:bCs/>
                <w:color w:val="FFFFFF"/>
                <w:sz w:val="20"/>
                <w:szCs w:val="20"/>
              </w:rPr>
              <w:t xml:space="preserve">Abogado generalista</w:t>
            </w:r>
          </w:p>
        </w:tc>
        <w:tc>
          <w:tcPr>
            <w:tcW w:type="dxa" w:w="3800"/>
            <w:tcBorders>
              <w:top w:val="single" w:color="AAAAAA" w:sz="1"/>
              <w:left w:val="single" w:color="AAAAAA" w:sz="1"/>
              <w:bottom w:val="single" w:color="AAAAAA" w:sz="1"/>
              <w:right w:val="single" w:color="AAAAAA" w:sz="1"/>
            </w:tcBorders>
            <w:shd w:fill="1F4E79" w:val="clear"/>
            <w:tcMar>
              <w:top w:type="dxa" w:w="80"/>
              <w:left w:type="dxa" w:w="120"/>
              <w:bottom w:type="dxa" w:w="80"/>
              <w:right w:type="dxa" w:w="120"/>
            </w:tcMar>
            <w:vAlign w:val="center"/>
          </w:tcPr>
          <w:p>
            <w:pPr>
              <w:jc w:val="center"/>
            </w:pPr>
            <w:r>
              <w:rPr>
                <w:rFonts w:ascii="Arial" w:cs="Arial" w:eastAsia="Arial" w:hAnsi="Arial"/>
                <w:b/>
                <w:bCs/>
                <w:color w:val="FFFFFF"/>
                <w:sz w:val="20"/>
                <w:szCs w:val="20"/>
              </w:rPr>
              <w:t xml:space="preserve">Este despacho</w:t>
            </w:r>
          </w:p>
        </w:tc>
      </w:tr>
      <w:tr>
        <w:tc>
          <w:tcPr>
            <w:tcW w:type="dxa" w:w="280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tcPr>
          <w:p>
            <w:r>
              <w:rPr>
                <w:rFonts w:ascii="Arial" w:cs="Arial" w:eastAsia="Arial" w:hAnsi="Arial"/>
                <w:sz w:val="20"/>
                <w:szCs w:val="20"/>
              </w:rPr>
              <w:t xml:space="preserve">Profundidad jurisprudencial</w:t>
            </w:r>
          </w:p>
        </w:tc>
        <w:tc>
          <w:tcPr>
            <w:tcW w:type="dxa" w:w="320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tcPr>
          <w:p>
            <w:r>
              <w:rPr>
                <w:rFonts w:ascii="Arial" w:cs="Arial" w:eastAsia="Arial" w:hAnsi="Arial"/>
                <w:sz w:val="20"/>
                <w:szCs w:val="20"/>
              </w:rPr>
              <w:t xml:space="preserve">Conoce el art. 156 CC genéricamente</w:t>
            </w:r>
          </w:p>
        </w:tc>
        <w:tc>
          <w:tcPr>
            <w:tcW w:type="dxa" w:w="380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tcPr>
          <w:p>
            <w:r>
              <w:rPr>
                <w:rFonts w:ascii="Arial" w:cs="Arial" w:eastAsia="Arial" w:hAnsi="Arial"/>
                <w:sz w:val="20"/>
                <w:szCs w:val="20"/>
              </w:rPr>
              <w:t xml:space="preserve">Domina STS 465/2015, STS 277/2016, STC 5/2023, STC 119/2025 y jurisprudencia provincial reciente (SAP Barcelona 54/2025, SAP Málaga 243/2023)</w:t>
            </w:r>
          </w:p>
        </w:tc>
      </w:tr>
      <w:tr>
        <w:tc>
          <w:tcPr>
            <w:tcW w:type="dxa" w:w="2800"/>
            <w:tcBorders>
              <w:top w:val="single" w:color="AAAAAA" w:sz="1"/>
              <w:left w:val="single" w:color="AAAAAA" w:sz="1"/>
              <w:bottom w:val="single" w:color="AAAAAA" w:sz="1"/>
              <w:right w:val="single" w:color="AAAAAA" w:sz="1"/>
            </w:tcBorders>
            <w:shd w:fill="F0F4FA" w:val="clear"/>
            <w:tcMar>
              <w:top w:type="dxa" w:w="80"/>
              <w:left w:type="dxa" w:w="120"/>
              <w:bottom w:type="dxa" w:w="80"/>
              <w:right w:type="dxa" w:w="120"/>
            </w:tcMar>
          </w:tcPr>
          <w:p>
            <w:r>
              <w:rPr>
                <w:rFonts w:ascii="Arial" w:cs="Arial" w:eastAsia="Arial" w:hAnsi="Arial"/>
                <w:sz w:val="20"/>
                <w:szCs w:val="20"/>
              </w:rPr>
              <w:t xml:space="preserve">Mapa de escenarios desde el primer momento</w:t>
            </w:r>
          </w:p>
        </w:tc>
        <w:tc>
          <w:tcPr>
            <w:tcW w:type="dxa" w:w="3200"/>
            <w:tcBorders>
              <w:top w:val="single" w:color="AAAAAA" w:sz="1"/>
              <w:left w:val="single" w:color="AAAAAA" w:sz="1"/>
              <w:bottom w:val="single" w:color="AAAAAA" w:sz="1"/>
              <w:right w:val="single" w:color="AAAAAA" w:sz="1"/>
            </w:tcBorders>
            <w:shd w:fill="F0F4FA" w:val="clear"/>
            <w:tcMar>
              <w:top w:type="dxa" w:w="80"/>
              <w:left w:type="dxa" w:w="120"/>
              <w:bottom w:type="dxa" w:w="80"/>
              <w:right w:type="dxa" w:w="120"/>
            </w:tcMar>
          </w:tcPr>
          <w:p>
            <w:r>
              <w:rPr>
                <w:rFonts w:ascii="Arial" w:cs="Arial" w:eastAsia="Arial" w:hAnsi="Arial"/>
                <w:sz w:val="20"/>
                <w:szCs w:val="20"/>
              </w:rPr>
              <w:t xml:space="preserve">Asesora sobre el pleito</w:t>
            </w:r>
          </w:p>
        </w:tc>
        <w:tc>
          <w:tcPr>
            <w:tcW w:type="dxa" w:w="3800"/>
            <w:tcBorders>
              <w:top w:val="single" w:color="AAAAAA" w:sz="1"/>
              <w:left w:val="single" w:color="AAAAAA" w:sz="1"/>
              <w:bottom w:val="single" w:color="AAAAAA" w:sz="1"/>
              <w:right w:val="single" w:color="AAAAAA" w:sz="1"/>
            </w:tcBorders>
            <w:shd w:fill="F0F4FA" w:val="clear"/>
            <w:tcMar>
              <w:top w:type="dxa" w:w="80"/>
              <w:left w:type="dxa" w:w="120"/>
              <w:bottom w:type="dxa" w:w="80"/>
              <w:right w:type="dxa" w:w="120"/>
            </w:tcMar>
          </w:tcPr>
          <w:p>
            <w:r>
              <w:rPr>
                <w:rFonts w:ascii="Arial" w:cs="Arial" w:eastAsia="Arial" w:hAnsi="Arial"/>
                <w:sz w:val="20"/>
                <w:szCs w:val="20"/>
              </w:rPr>
              <w:t xml:space="preserve">Entrega desde la consulta inicial un mapa de 4 escenarios (acuerdo / mediación / JV / judicialización) con probabilidades y plazos, adaptado al estado del conflicto</w:t>
            </w:r>
          </w:p>
        </w:tc>
      </w:tr>
      <w:tr>
        <w:tc>
          <w:tcPr>
            <w:tcW w:type="dxa" w:w="280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tcPr>
          <w:p>
            <w:r>
              <w:rPr>
                <w:rFonts w:ascii="Arial" w:cs="Arial" w:eastAsia="Arial" w:hAnsi="Arial"/>
                <w:sz w:val="20"/>
                <w:szCs w:val="20"/>
              </w:rPr>
              <w:t xml:space="preserve">Integración de la voz del menor</w:t>
            </w:r>
          </w:p>
        </w:tc>
        <w:tc>
          <w:tcPr>
            <w:tcW w:type="dxa" w:w="320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tcPr>
          <w:p>
            <w:r>
              <w:rPr>
                <w:rFonts w:ascii="Arial" w:cs="Arial" w:eastAsia="Arial" w:hAnsi="Arial"/>
                <w:sz w:val="20"/>
                <w:szCs w:val="20"/>
              </w:rPr>
              <w:t xml:space="preserve">La menciona como argumento procesal</w:t>
            </w:r>
          </w:p>
        </w:tc>
        <w:tc>
          <w:tcPr>
            <w:tcW w:type="dxa" w:w="380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tcPr>
          <w:p>
            <w:r>
              <w:rPr>
                <w:rFonts w:ascii="Arial" w:cs="Arial" w:eastAsia="Arial" w:hAnsi="Arial"/>
                <w:sz w:val="20"/>
                <w:szCs w:val="20"/>
              </w:rPr>
              <w:t xml:space="preserve">La construye como estrategia: documentar la voluntad del menor (art. 9 LOPJM) es clave antes de llegar al juzgado; se trabaja desde el principio</w:t>
            </w:r>
          </w:p>
        </w:tc>
      </w:tr>
    </w:tbl>
    <w:p>
      <w:pPr>
        <w:spacing w:after="120"/>
      </w:pPr>
      <w:r>
        <w:t xml:space="preserve"/>
      </w:r>
    </w:p>
    <w:p>
      <w:pPr>
        <w:pStyle w:val="Heading2"/>
        <w:spacing w:after="120" w:before="280"/>
      </w:pPr>
      <w:r>
        <w:rPr>
          <w:rFonts w:ascii="Arial" w:cs="Arial" w:eastAsia="Arial" w:hAnsi="Arial"/>
          <w:b/>
          <w:bCs/>
          <w:color w:val="2E75B6"/>
          <w:sz w:val="28"/>
          <w:szCs w:val="28"/>
        </w:rPr>
        <w:t xml:space="preserve">1.6 Elevator pitch (30 segundos)</w:t>
      </w:r>
    </w:p>
    <w:tbl>
      <w:tblPr>
        <w:tblW w:type="dxa" w:w="9906"/>
        <w:tblBorders>
          <w:top w:val="single" w:color="auto" w:sz="4"/>
          <w:left w:val="single" w:color="auto" w:sz="4"/>
          <w:bottom w:val="single" w:color="auto" w:sz="4"/>
          <w:right w:val="single" w:color="auto" w:sz="4"/>
          <w:insideH w:val="single" w:color="auto" w:sz="4"/>
          <w:insideV w:val="single" w:color="auto" w:sz="4"/>
        </w:tblBorders>
      </w:tblPr>
      <w:tblGrid>
        <w:gridCol w:w="9906"/>
      </w:tblGrid>
      <w:tr>
        <w:tc>
          <w:tcPr>
            <w:tcW w:type="dxa" w:w="9906"/>
            <w:tcBorders>
              <w:top w:val="single" w:color="2E75B6" w:sz="4"/>
              <w:left w:val="single" w:color="2E75B6" w:sz="8"/>
              <w:bottom w:val="single" w:color="2E75B6" w:sz="4"/>
              <w:right w:val="none" w:color="FFFFFF" w:sz="0"/>
            </w:tcBorders>
            <w:shd w:fill="EEF2F7" w:val="clear"/>
            <w:tcMar>
              <w:top w:type="dxa" w:w="120"/>
              <w:left w:type="dxa" w:w="180"/>
              <w:bottom w:type="dxa" w:w="120"/>
              <w:right w:type="dxa" w:w="120"/>
            </w:tcMar>
          </w:tcPr>
          <w:p>
            <w:pPr>
              <w:spacing w:after="60"/>
            </w:pPr>
            <w:r>
              <w:rPr>
                <w:rFonts w:ascii="Arial" w:cs="Arial" w:eastAsia="Arial" w:hAnsi="Arial"/>
                <w:color w:val="1F4E79"/>
                <w:sz w:val="22"/>
                <w:szCs w:val="22"/>
              </w:rPr>
              <w:t xml:space="preserve">Si tu ex esta tomando decisiones religiosas sobre vuestro hijo sin contarte, tienes derechos.</w:t>
            </w:r>
          </w:p>
          <w:p>
            <w:pPr>
              <w:spacing w:after="60"/>
            </w:pPr>
            <w:r>
              <w:rPr>
                <w:rFonts w:ascii="Arial" w:cs="Arial" w:eastAsia="Arial" w:hAnsi="Arial"/>
                <w:color w:val="1F4E79"/>
                <w:sz w:val="22"/>
                <w:szCs w:val="22"/>
              </w:rPr>
              <w:t xml:space="preserve">El Tribunal Supremo ha dicho que la Primera Comunion o el Bautismo necesitan el acuerdo de</w:t>
            </w:r>
          </w:p>
          <w:p>
            <w:pPr>
              <w:spacing w:after="60"/>
            </w:pPr>
            <w:r>
              <w:rPr>
                <w:rFonts w:ascii="Arial" w:cs="Arial" w:eastAsia="Arial" w:hAnsi="Arial"/>
                <w:color w:val="1F4E79"/>
                <w:sz w:val="22"/>
                <w:szCs w:val="22"/>
              </w:rPr>
              <w:t xml:space="preserve">los dos. Soy abogado/a especializado/a en este tipo de conflictos. Te explico en una primera</w:t>
            </w:r>
          </w:p>
          <w:p>
            <w:pPr>
              <w:spacing w:after="60"/>
            </w:pPr>
            <w:r>
              <w:rPr>
                <w:rFonts w:ascii="Arial" w:cs="Arial" w:eastAsia="Arial" w:hAnsi="Arial"/>
                <w:color w:val="1F4E79"/>
                <w:sz w:val="22"/>
                <w:szCs w:val="22"/>
              </w:rPr>
              <w:t xml:space="preserve">consulta que puedes hacer ahora mismo, que riesgos tienes si actuas y que riesgos tienes si</w:t>
            </w:r>
          </w:p>
          <w:p>
            <w:pPr>
              <w:spacing w:after="60"/>
            </w:pPr>
            <w:r>
              <w:rPr>
                <w:rFonts w:ascii="Arial" w:cs="Arial" w:eastAsia="Arial" w:hAnsi="Arial"/>
                <w:color w:val="1F4E79"/>
                <w:sz w:val="22"/>
                <w:szCs w:val="22"/>
              </w:rPr>
              <w:t xml:space="preserve">no actuas. Sin jerga. Sin promesas. Sin urgencia artificial.</w:t>
            </w:r>
          </w:p>
        </w:tc>
      </w:tr>
    </w:tbl>
    <w:p>
      <w:r>
        <w:br w:type="page"/>
      </w:r>
    </w:p>
    <w:p>
      <w:pPr>
        <w:pStyle w:val="Heading1"/>
        <w:spacing w:after="180" w:before="360"/>
      </w:pPr>
      <w:r>
        <w:rPr>
          <w:rFonts w:ascii="Arial" w:cs="Arial" w:eastAsia="Arial" w:hAnsi="Arial"/>
          <w:b/>
          <w:bCs/>
          <w:color w:val="1F4E79"/>
          <w:sz w:val="36"/>
          <w:szCs w:val="36"/>
        </w:rPr>
        <w:t xml:space="preserve">2. Plan de lanzamiento a 90 días</w:t>
      </w:r>
    </w:p>
    <w:p>
      <w:pPr>
        <w:spacing w:after="120"/>
        <w:jc w:val="both"/>
      </w:pPr>
      <w:r>
        <w:rPr>
          <w:rFonts w:ascii="Arial" w:cs="Arial" w:eastAsia="Arial" w:hAnsi="Arial"/>
          <w:b w:val="false"/>
          <w:bCs w:val="false"/>
          <w:color w:val="000000"/>
          <w:sz w:val="22"/>
          <w:szCs w:val="22"/>
        </w:rPr>
        <w:t xml:space="preserve">Periodo: semanas 1-13 (aproximadamente abril-julio 2026). Ejecución por el abogado titular con apoyo puntual de un freelance de diseño/desarrollo web (≤3 encargos). Presupuesto total ≤ 2.500 €.</w:t>
      </w:r>
    </w:p>
    <w:p>
      <w:pPr>
        <w:spacing w:after="120"/>
      </w:pPr>
      <w:r>
        <w:t xml:space="preserve"/>
      </w:r>
    </w:p>
    <w:tbl>
      <w:tblPr>
        <w:tblW w:type="dxa" w:w="9800"/>
        <w:tblBorders>
          <w:top w:val="single" w:color="auto" w:sz="4"/>
          <w:left w:val="single" w:color="auto" w:sz="4"/>
          <w:bottom w:val="single" w:color="auto" w:sz="4"/>
          <w:right w:val="single" w:color="auto" w:sz="4"/>
          <w:insideH w:val="single" w:color="auto" w:sz="4"/>
          <w:insideV w:val="single" w:color="auto" w:sz="4"/>
        </w:tblBorders>
      </w:tblPr>
      <w:tblGrid>
        <w:gridCol w:w="800"/>
        <w:gridCol w:w="2000"/>
        <w:gridCol w:w="3400"/>
        <w:gridCol w:w="1500"/>
        <w:gridCol w:w="2100"/>
      </w:tblGrid>
      <w:tr>
        <w:trPr>
          <w:tblHeader/>
        </w:trPr>
        <w:tc>
          <w:tcPr>
            <w:tcW w:type="dxa" w:w="800"/>
            <w:tcBorders>
              <w:top w:val="single" w:color="AAAAAA" w:sz="1"/>
              <w:left w:val="single" w:color="AAAAAA" w:sz="1"/>
              <w:bottom w:val="single" w:color="AAAAAA" w:sz="1"/>
              <w:right w:val="single" w:color="AAAAAA" w:sz="1"/>
            </w:tcBorders>
            <w:shd w:fill="1F4E79" w:val="clear"/>
            <w:tcMar>
              <w:top w:type="dxa" w:w="80"/>
              <w:left w:type="dxa" w:w="120"/>
              <w:bottom w:type="dxa" w:w="80"/>
              <w:right w:type="dxa" w:w="120"/>
            </w:tcMar>
            <w:vAlign w:val="center"/>
          </w:tcPr>
          <w:p>
            <w:pPr>
              <w:jc w:val="center"/>
            </w:pPr>
            <w:r>
              <w:rPr>
                <w:rFonts w:ascii="Arial" w:cs="Arial" w:eastAsia="Arial" w:hAnsi="Arial"/>
                <w:b/>
                <w:bCs/>
                <w:color w:val="FFFFFF"/>
                <w:sz w:val="20"/>
                <w:szCs w:val="20"/>
              </w:rPr>
              <w:t xml:space="preserve">Semana</w:t>
            </w:r>
          </w:p>
        </w:tc>
        <w:tc>
          <w:tcPr>
            <w:tcW w:type="dxa" w:w="2000"/>
            <w:tcBorders>
              <w:top w:val="single" w:color="AAAAAA" w:sz="1"/>
              <w:left w:val="single" w:color="AAAAAA" w:sz="1"/>
              <w:bottom w:val="single" w:color="AAAAAA" w:sz="1"/>
              <w:right w:val="single" w:color="AAAAAA" w:sz="1"/>
            </w:tcBorders>
            <w:shd w:fill="1F4E79" w:val="clear"/>
            <w:tcMar>
              <w:top w:type="dxa" w:w="80"/>
              <w:left w:type="dxa" w:w="120"/>
              <w:bottom w:type="dxa" w:w="80"/>
              <w:right w:type="dxa" w:w="120"/>
            </w:tcMar>
            <w:vAlign w:val="center"/>
          </w:tcPr>
          <w:p>
            <w:pPr>
              <w:jc w:val="center"/>
            </w:pPr>
            <w:r>
              <w:rPr>
                <w:rFonts w:ascii="Arial" w:cs="Arial" w:eastAsia="Arial" w:hAnsi="Arial"/>
                <w:b/>
                <w:bCs/>
                <w:color w:val="FFFFFF"/>
                <w:sz w:val="20"/>
                <w:szCs w:val="20"/>
              </w:rPr>
              <w:t xml:space="preserve">Hito</w:t>
            </w:r>
          </w:p>
        </w:tc>
        <w:tc>
          <w:tcPr>
            <w:tcW w:type="dxa" w:w="3400"/>
            <w:tcBorders>
              <w:top w:val="single" w:color="AAAAAA" w:sz="1"/>
              <w:left w:val="single" w:color="AAAAAA" w:sz="1"/>
              <w:bottom w:val="single" w:color="AAAAAA" w:sz="1"/>
              <w:right w:val="single" w:color="AAAAAA" w:sz="1"/>
            </w:tcBorders>
            <w:shd w:fill="1F4E79" w:val="clear"/>
            <w:tcMar>
              <w:top w:type="dxa" w:w="80"/>
              <w:left w:type="dxa" w:w="120"/>
              <w:bottom w:type="dxa" w:w="80"/>
              <w:right w:type="dxa" w:w="120"/>
            </w:tcMar>
            <w:vAlign w:val="center"/>
          </w:tcPr>
          <w:p>
            <w:pPr>
              <w:jc w:val="center"/>
            </w:pPr>
            <w:r>
              <w:rPr>
                <w:rFonts w:ascii="Arial" w:cs="Arial" w:eastAsia="Arial" w:hAnsi="Arial"/>
                <w:b/>
                <w:bCs/>
                <w:color w:val="FFFFFF"/>
                <w:sz w:val="20"/>
                <w:szCs w:val="20"/>
              </w:rPr>
              <w:t xml:space="preserve">Entregable concreto</w:t>
            </w:r>
          </w:p>
        </w:tc>
        <w:tc>
          <w:tcPr>
            <w:tcW w:type="dxa" w:w="1500"/>
            <w:tcBorders>
              <w:top w:val="single" w:color="AAAAAA" w:sz="1"/>
              <w:left w:val="single" w:color="AAAAAA" w:sz="1"/>
              <w:bottom w:val="single" w:color="AAAAAA" w:sz="1"/>
              <w:right w:val="single" w:color="AAAAAA" w:sz="1"/>
            </w:tcBorders>
            <w:shd w:fill="1F4E79" w:val="clear"/>
            <w:tcMar>
              <w:top w:type="dxa" w:w="80"/>
              <w:left w:type="dxa" w:w="120"/>
              <w:bottom w:type="dxa" w:w="80"/>
              <w:right w:type="dxa" w:w="120"/>
            </w:tcMar>
            <w:vAlign w:val="center"/>
          </w:tcPr>
          <w:p>
            <w:pPr>
              <w:jc w:val="center"/>
            </w:pPr>
            <w:r>
              <w:rPr>
                <w:rFonts w:ascii="Arial" w:cs="Arial" w:eastAsia="Arial" w:hAnsi="Arial"/>
                <w:b/>
                <w:bCs/>
                <w:color w:val="FFFFFF"/>
                <w:sz w:val="20"/>
                <w:szCs w:val="20"/>
              </w:rPr>
              <w:t xml:space="preserve">Canal</w:t>
            </w:r>
          </w:p>
        </w:tc>
        <w:tc>
          <w:tcPr>
            <w:tcW w:type="dxa" w:w="2100"/>
            <w:tcBorders>
              <w:top w:val="single" w:color="AAAAAA" w:sz="1"/>
              <w:left w:val="single" w:color="AAAAAA" w:sz="1"/>
              <w:bottom w:val="single" w:color="AAAAAA" w:sz="1"/>
              <w:right w:val="single" w:color="AAAAAA" w:sz="1"/>
            </w:tcBorders>
            <w:shd w:fill="1F4E79" w:val="clear"/>
            <w:tcMar>
              <w:top w:type="dxa" w:w="80"/>
              <w:left w:type="dxa" w:w="120"/>
              <w:bottom w:type="dxa" w:w="80"/>
              <w:right w:type="dxa" w:w="120"/>
            </w:tcMar>
            <w:vAlign w:val="center"/>
          </w:tcPr>
          <w:p>
            <w:pPr>
              <w:jc w:val="center"/>
            </w:pPr>
            <w:r>
              <w:rPr>
                <w:rFonts w:ascii="Arial" w:cs="Arial" w:eastAsia="Arial" w:hAnsi="Arial"/>
                <w:b/>
                <w:bCs/>
                <w:color w:val="FFFFFF"/>
                <w:sz w:val="20"/>
                <w:szCs w:val="20"/>
              </w:rPr>
              <w:t xml:space="preserve">KPI medible</w:t>
            </w:r>
          </w:p>
        </w:tc>
      </w:tr>
      <w:tr>
        <w:tc>
          <w:tcPr>
            <w:tcW w:type="dxa" w:w="80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tcPr>
          <w:p>
            <w:r>
              <w:rPr>
                <w:rFonts w:ascii="Arial" w:cs="Arial" w:eastAsia="Arial" w:hAnsi="Arial"/>
                <w:sz w:val="20"/>
                <w:szCs w:val="20"/>
              </w:rPr>
              <w:t xml:space="preserve">1</w:t>
            </w:r>
          </w:p>
        </w:tc>
        <w:tc>
          <w:tcPr>
            <w:tcW w:type="dxa" w:w="200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tcPr>
          <w:p>
            <w:r>
              <w:rPr>
                <w:rFonts w:ascii="Arial" w:cs="Arial" w:eastAsia="Arial" w:hAnsi="Arial"/>
                <w:sz w:val="20"/>
                <w:szCs w:val="20"/>
              </w:rPr>
              <w:t xml:space="preserve">Definir identidad digital</w:t>
            </w:r>
          </w:p>
        </w:tc>
        <w:tc>
          <w:tcPr>
            <w:tcW w:type="dxa" w:w="340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tcPr>
          <w:p>
            <w:r>
              <w:rPr>
                <w:rFonts w:ascii="Arial" w:cs="Arial" w:eastAsia="Arial" w:hAnsi="Arial"/>
                <w:sz w:val="20"/>
                <w:szCs w:val="20"/>
              </w:rPr>
              <w:t xml:space="preserve">Nombre del despacho / marca personal, comprar dominio (.es), crear cuenta Google Search Console y Google Analytics</w:t>
            </w:r>
          </w:p>
        </w:tc>
        <w:tc>
          <w:tcPr>
            <w:tcW w:type="dxa" w:w="150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tcPr>
          <w:p>
            <w:r>
              <w:rPr>
                <w:rFonts w:ascii="Arial" w:cs="Arial" w:eastAsia="Arial" w:hAnsi="Arial"/>
                <w:sz w:val="20"/>
                <w:szCs w:val="20"/>
              </w:rPr>
              <w:t xml:space="preserve">Web / Google</w:t>
            </w:r>
          </w:p>
        </w:tc>
        <w:tc>
          <w:tcPr>
            <w:tcW w:type="dxa" w:w="210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tcPr>
          <w:p>
            <w:r>
              <w:rPr>
                <w:rFonts w:ascii="Arial" w:cs="Arial" w:eastAsia="Arial" w:hAnsi="Arial"/>
                <w:sz w:val="20"/>
                <w:szCs w:val="20"/>
              </w:rPr>
              <w:t xml:space="preserve">Dominio activo, analytics instalado</w:t>
            </w:r>
          </w:p>
        </w:tc>
      </w:tr>
      <w:tr>
        <w:tc>
          <w:tcPr>
            <w:tcW w:type="dxa" w:w="800"/>
            <w:tcBorders>
              <w:top w:val="single" w:color="AAAAAA" w:sz="1"/>
              <w:left w:val="single" w:color="AAAAAA" w:sz="1"/>
              <w:bottom w:val="single" w:color="AAAAAA" w:sz="1"/>
              <w:right w:val="single" w:color="AAAAAA" w:sz="1"/>
            </w:tcBorders>
            <w:shd w:fill="F0F4FA" w:val="clear"/>
            <w:tcMar>
              <w:top w:type="dxa" w:w="80"/>
              <w:left w:type="dxa" w:w="120"/>
              <w:bottom w:type="dxa" w:w="80"/>
              <w:right w:type="dxa" w:w="120"/>
            </w:tcMar>
          </w:tcPr>
          <w:p>
            <w:r>
              <w:rPr>
                <w:rFonts w:ascii="Arial" w:cs="Arial" w:eastAsia="Arial" w:hAnsi="Arial"/>
                <w:sz w:val="20"/>
                <w:szCs w:val="20"/>
              </w:rPr>
              <w:t xml:space="preserve">1</w:t>
            </w:r>
          </w:p>
        </w:tc>
        <w:tc>
          <w:tcPr>
            <w:tcW w:type="dxa" w:w="2000"/>
            <w:tcBorders>
              <w:top w:val="single" w:color="AAAAAA" w:sz="1"/>
              <w:left w:val="single" w:color="AAAAAA" w:sz="1"/>
              <w:bottom w:val="single" w:color="AAAAAA" w:sz="1"/>
              <w:right w:val="single" w:color="AAAAAA" w:sz="1"/>
            </w:tcBorders>
            <w:shd w:fill="F0F4FA" w:val="clear"/>
            <w:tcMar>
              <w:top w:type="dxa" w:w="80"/>
              <w:left w:type="dxa" w:w="120"/>
              <w:bottom w:type="dxa" w:w="80"/>
              <w:right w:type="dxa" w:w="120"/>
            </w:tcMar>
          </w:tcPr>
          <w:p>
            <w:r>
              <w:rPr>
                <w:rFonts w:ascii="Arial" w:cs="Arial" w:eastAsia="Arial" w:hAnsi="Arial"/>
                <w:sz w:val="20"/>
                <w:szCs w:val="20"/>
              </w:rPr>
              <w:t xml:space="preserve">Registrar perfiles clave</w:t>
            </w:r>
          </w:p>
        </w:tc>
        <w:tc>
          <w:tcPr>
            <w:tcW w:type="dxa" w:w="3400"/>
            <w:tcBorders>
              <w:top w:val="single" w:color="AAAAAA" w:sz="1"/>
              <w:left w:val="single" w:color="AAAAAA" w:sz="1"/>
              <w:bottom w:val="single" w:color="AAAAAA" w:sz="1"/>
              <w:right w:val="single" w:color="AAAAAA" w:sz="1"/>
            </w:tcBorders>
            <w:shd w:fill="F0F4FA" w:val="clear"/>
            <w:tcMar>
              <w:top w:type="dxa" w:w="80"/>
              <w:left w:type="dxa" w:w="120"/>
              <w:bottom w:type="dxa" w:w="80"/>
              <w:right w:type="dxa" w:w="120"/>
            </w:tcMar>
          </w:tcPr>
          <w:p>
            <w:r>
              <w:rPr>
                <w:rFonts w:ascii="Arial" w:cs="Arial" w:eastAsia="Arial" w:hAnsi="Arial"/>
                <w:sz w:val="20"/>
                <w:szCs w:val="20"/>
              </w:rPr>
              <w:t xml:space="preserve">LinkedIn personal optimizado (foto profesional, titular: 'Abogado/a · Patria Potestad y Formación Religiosa'), perfil Google Business si hay dirección física</w:t>
            </w:r>
          </w:p>
        </w:tc>
        <w:tc>
          <w:tcPr>
            <w:tcW w:type="dxa" w:w="1500"/>
            <w:tcBorders>
              <w:top w:val="single" w:color="AAAAAA" w:sz="1"/>
              <w:left w:val="single" w:color="AAAAAA" w:sz="1"/>
              <w:bottom w:val="single" w:color="AAAAAA" w:sz="1"/>
              <w:right w:val="single" w:color="AAAAAA" w:sz="1"/>
            </w:tcBorders>
            <w:shd w:fill="F0F4FA" w:val="clear"/>
            <w:tcMar>
              <w:top w:type="dxa" w:w="80"/>
              <w:left w:type="dxa" w:w="120"/>
              <w:bottom w:type="dxa" w:w="80"/>
              <w:right w:type="dxa" w:w="120"/>
            </w:tcMar>
          </w:tcPr>
          <w:p>
            <w:r>
              <w:rPr>
                <w:rFonts w:ascii="Arial" w:cs="Arial" w:eastAsia="Arial" w:hAnsi="Arial"/>
                <w:sz w:val="20"/>
                <w:szCs w:val="20"/>
              </w:rPr>
              <w:t xml:space="preserve">LinkedIn / Google</w:t>
            </w:r>
          </w:p>
        </w:tc>
        <w:tc>
          <w:tcPr>
            <w:tcW w:type="dxa" w:w="2100"/>
            <w:tcBorders>
              <w:top w:val="single" w:color="AAAAAA" w:sz="1"/>
              <w:left w:val="single" w:color="AAAAAA" w:sz="1"/>
              <w:bottom w:val="single" w:color="AAAAAA" w:sz="1"/>
              <w:right w:val="single" w:color="AAAAAA" w:sz="1"/>
            </w:tcBorders>
            <w:shd w:fill="F0F4FA" w:val="clear"/>
            <w:tcMar>
              <w:top w:type="dxa" w:w="80"/>
              <w:left w:type="dxa" w:w="120"/>
              <w:bottom w:type="dxa" w:w="80"/>
              <w:right w:type="dxa" w:w="120"/>
            </w:tcMar>
          </w:tcPr>
          <w:p>
            <w:r>
              <w:rPr>
                <w:rFonts w:ascii="Arial" w:cs="Arial" w:eastAsia="Arial" w:hAnsi="Arial"/>
                <w:sz w:val="20"/>
                <w:szCs w:val="20"/>
              </w:rPr>
              <w:t xml:space="preserve">Perfil al 100% completado</w:t>
            </w:r>
          </w:p>
        </w:tc>
      </w:tr>
      <w:tr>
        <w:tc>
          <w:tcPr>
            <w:tcW w:type="dxa" w:w="80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tcPr>
          <w:p>
            <w:r>
              <w:rPr>
                <w:rFonts w:ascii="Arial" w:cs="Arial" w:eastAsia="Arial" w:hAnsi="Arial"/>
                <w:sz w:val="20"/>
                <w:szCs w:val="20"/>
              </w:rPr>
              <w:t xml:space="preserve">2</w:t>
            </w:r>
          </w:p>
        </w:tc>
        <w:tc>
          <w:tcPr>
            <w:tcW w:type="dxa" w:w="200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tcPr>
          <w:p>
            <w:r>
              <w:rPr>
                <w:rFonts w:ascii="Arial" w:cs="Arial" w:eastAsia="Arial" w:hAnsi="Arial"/>
                <w:sz w:val="20"/>
                <w:szCs w:val="20"/>
              </w:rPr>
              <w:t xml:space="preserve">Publicar landing page mínima</w:t>
            </w:r>
          </w:p>
        </w:tc>
        <w:tc>
          <w:tcPr>
            <w:tcW w:type="dxa" w:w="340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tcPr>
          <w:p>
            <w:r>
              <w:rPr>
                <w:rFonts w:ascii="Arial" w:cs="Arial" w:eastAsia="Arial" w:hAnsi="Arial"/>
                <w:sz w:val="20"/>
                <w:szCs w:val="20"/>
              </w:rPr>
              <w:t xml:space="preserve">Página de 1 scroll en WordPress/Webflow con hero, propuesta de valor, formulario de contacto y aviso legal RGPD (ver Bloque 5)</w:t>
            </w:r>
          </w:p>
        </w:tc>
        <w:tc>
          <w:tcPr>
            <w:tcW w:type="dxa" w:w="150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tcPr>
          <w:p>
            <w:r>
              <w:rPr>
                <w:rFonts w:ascii="Arial" w:cs="Arial" w:eastAsia="Arial" w:hAnsi="Arial"/>
                <w:sz w:val="20"/>
                <w:szCs w:val="20"/>
              </w:rPr>
              <w:t xml:space="preserve">Web</w:t>
            </w:r>
          </w:p>
        </w:tc>
        <w:tc>
          <w:tcPr>
            <w:tcW w:type="dxa" w:w="210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tcPr>
          <w:p>
            <w:r>
              <w:rPr>
                <w:rFonts w:ascii="Arial" w:cs="Arial" w:eastAsia="Arial" w:hAnsi="Arial"/>
                <w:sz w:val="20"/>
                <w:szCs w:val="20"/>
              </w:rPr>
              <w:t xml:space="preserve">Landing publicada, formulario funcional</w:t>
            </w:r>
          </w:p>
        </w:tc>
      </w:tr>
      <w:tr>
        <w:tc>
          <w:tcPr>
            <w:tcW w:type="dxa" w:w="800"/>
            <w:tcBorders>
              <w:top w:val="single" w:color="AAAAAA" w:sz="1"/>
              <w:left w:val="single" w:color="AAAAAA" w:sz="1"/>
              <w:bottom w:val="single" w:color="AAAAAA" w:sz="1"/>
              <w:right w:val="single" w:color="AAAAAA" w:sz="1"/>
            </w:tcBorders>
            <w:shd w:fill="F0F4FA" w:val="clear"/>
            <w:tcMar>
              <w:top w:type="dxa" w:w="80"/>
              <w:left w:type="dxa" w:w="120"/>
              <w:bottom w:type="dxa" w:w="80"/>
              <w:right w:type="dxa" w:w="120"/>
            </w:tcMar>
          </w:tcPr>
          <w:p>
            <w:r>
              <w:rPr>
                <w:rFonts w:ascii="Arial" w:cs="Arial" w:eastAsia="Arial" w:hAnsi="Arial"/>
                <w:sz w:val="20"/>
                <w:szCs w:val="20"/>
              </w:rPr>
              <w:t xml:space="preserve">2</w:t>
            </w:r>
          </w:p>
        </w:tc>
        <w:tc>
          <w:tcPr>
            <w:tcW w:type="dxa" w:w="2000"/>
            <w:tcBorders>
              <w:top w:val="single" w:color="AAAAAA" w:sz="1"/>
              <w:left w:val="single" w:color="AAAAAA" w:sz="1"/>
              <w:bottom w:val="single" w:color="AAAAAA" w:sz="1"/>
              <w:right w:val="single" w:color="AAAAAA" w:sz="1"/>
            </w:tcBorders>
            <w:shd w:fill="F0F4FA" w:val="clear"/>
            <w:tcMar>
              <w:top w:type="dxa" w:w="80"/>
              <w:left w:type="dxa" w:w="120"/>
              <w:bottom w:type="dxa" w:w="80"/>
              <w:right w:type="dxa" w:w="120"/>
            </w:tcMar>
          </w:tcPr>
          <w:p>
            <w:r>
              <w:rPr>
                <w:rFonts w:ascii="Arial" w:cs="Arial" w:eastAsia="Arial" w:hAnsi="Arial"/>
                <w:sz w:val="20"/>
                <w:szCs w:val="20"/>
              </w:rPr>
              <w:t xml:space="preserve">Crear lead magnet v1</w:t>
            </w:r>
          </w:p>
        </w:tc>
        <w:tc>
          <w:tcPr>
            <w:tcW w:type="dxa" w:w="3400"/>
            <w:tcBorders>
              <w:top w:val="single" w:color="AAAAAA" w:sz="1"/>
              <w:left w:val="single" w:color="AAAAAA" w:sz="1"/>
              <w:bottom w:val="single" w:color="AAAAAA" w:sz="1"/>
              <w:right w:val="single" w:color="AAAAAA" w:sz="1"/>
            </w:tcBorders>
            <w:shd w:fill="F0F4FA" w:val="clear"/>
            <w:tcMar>
              <w:top w:type="dxa" w:w="80"/>
              <w:left w:type="dxa" w:w="120"/>
              <w:bottom w:type="dxa" w:w="80"/>
              <w:right w:type="dxa" w:w="120"/>
            </w:tcMar>
          </w:tcPr>
          <w:p>
            <w:r>
              <w:rPr>
                <w:rFonts w:ascii="Arial" w:cs="Arial" w:eastAsia="Arial" w:hAnsi="Arial"/>
                <w:sz w:val="20"/>
                <w:szCs w:val="20"/>
              </w:rPr>
              <w:t xml:space="preserve">PDF descargable: 'Guía práctica: qué puedes hacer si el otro progenitor toma decisiones religiosas sin tu consentimiento' (4-6 páginas, ver Bloque 4)</w:t>
            </w:r>
          </w:p>
        </w:tc>
        <w:tc>
          <w:tcPr>
            <w:tcW w:type="dxa" w:w="1500"/>
            <w:tcBorders>
              <w:top w:val="single" w:color="AAAAAA" w:sz="1"/>
              <w:left w:val="single" w:color="AAAAAA" w:sz="1"/>
              <w:bottom w:val="single" w:color="AAAAAA" w:sz="1"/>
              <w:right w:val="single" w:color="AAAAAA" w:sz="1"/>
            </w:tcBorders>
            <w:shd w:fill="F0F4FA" w:val="clear"/>
            <w:tcMar>
              <w:top w:type="dxa" w:w="80"/>
              <w:left w:type="dxa" w:w="120"/>
              <w:bottom w:type="dxa" w:w="80"/>
              <w:right w:type="dxa" w:w="120"/>
            </w:tcMar>
          </w:tcPr>
          <w:p>
            <w:r>
              <w:rPr>
                <w:rFonts w:ascii="Arial" w:cs="Arial" w:eastAsia="Arial" w:hAnsi="Arial"/>
                <w:sz w:val="20"/>
                <w:szCs w:val="20"/>
              </w:rPr>
              <w:t xml:space="preserve">Web / LinkedIn</w:t>
            </w:r>
          </w:p>
        </w:tc>
        <w:tc>
          <w:tcPr>
            <w:tcW w:type="dxa" w:w="2100"/>
            <w:tcBorders>
              <w:top w:val="single" w:color="AAAAAA" w:sz="1"/>
              <w:left w:val="single" w:color="AAAAAA" w:sz="1"/>
              <w:bottom w:val="single" w:color="AAAAAA" w:sz="1"/>
              <w:right w:val="single" w:color="AAAAAA" w:sz="1"/>
            </w:tcBorders>
            <w:shd w:fill="F0F4FA" w:val="clear"/>
            <w:tcMar>
              <w:top w:type="dxa" w:w="80"/>
              <w:left w:type="dxa" w:w="120"/>
              <w:bottom w:type="dxa" w:w="80"/>
              <w:right w:type="dxa" w:w="120"/>
            </w:tcMar>
          </w:tcPr>
          <w:p>
            <w:r>
              <w:rPr>
                <w:rFonts w:ascii="Arial" w:cs="Arial" w:eastAsia="Arial" w:hAnsi="Arial"/>
                <w:sz w:val="20"/>
                <w:szCs w:val="20"/>
              </w:rPr>
              <w:t xml:space="preserve">PDF maquetado y subido</w:t>
            </w:r>
          </w:p>
        </w:tc>
      </w:tr>
      <w:tr>
        <w:tc>
          <w:tcPr>
            <w:tcW w:type="dxa" w:w="80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tcPr>
          <w:p>
            <w:r>
              <w:rPr>
                <w:rFonts w:ascii="Arial" w:cs="Arial" w:eastAsia="Arial" w:hAnsi="Arial"/>
                <w:sz w:val="20"/>
                <w:szCs w:val="20"/>
              </w:rPr>
              <w:t xml:space="preserve">3</w:t>
            </w:r>
          </w:p>
        </w:tc>
        <w:tc>
          <w:tcPr>
            <w:tcW w:type="dxa" w:w="200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tcPr>
          <w:p>
            <w:r>
              <w:rPr>
                <w:rFonts w:ascii="Arial" w:cs="Arial" w:eastAsia="Arial" w:hAnsi="Arial"/>
                <w:sz w:val="20"/>
                <w:szCs w:val="20"/>
              </w:rPr>
              <w:t xml:space="preserve">Primer artículo de autoridad</w:t>
            </w:r>
          </w:p>
        </w:tc>
        <w:tc>
          <w:tcPr>
            <w:tcW w:type="dxa" w:w="340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tcPr>
          <w:p>
            <w:r>
              <w:rPr>
                <w:rFonts w:ascii="Arial" w:cs="Arial" w:eastAsia="Arial" w:hAnsi="Arial"/>
                <w:sz w:val="20"/>
                <w:szCs w:val="20"/>
              </w:rPr>
              <w:t xml:space="preserve">Post blog/LinkedIn largo: '¿Puede un padre impedir la Primera Comunión si hay patria potestad conjunta? Lo que dice el Tribunal Supremo' (~1.200 palabras, cita STS 465/2015)</w:t>
            </w:r>
          </w:p>
        </w:tc>
        <w:tc>
          <w:tcPr>
            <w:tcW w:type="dxa" w:w="150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tcPr>
          <w:p>
            <w:r>
              <w:rPr>
                <w:rFonts w:ascii="Arial" w:cs="Arial" w:eastAsia="Arial" w:hAnsi="Arial"/>
                <w:sz w:val="20"/>
                <w:szCs w:val="20"/>
              </w:rPr>
              <w:t xml:space="preserve">Blog + LinkedIn</w:t>
            </w:r>
          </w:p>
        </w:tc>
        <w:tc>
          <w:tcPr>
            <w:tcW w:type="dxa" w:w="210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tcPr>
          <w:p>
            <w:r>
              <w:rPr>
                <w:rFonts w:ascii="Arial" w:cs="Arial" w:eastAsia="Arial" w:hAnsi="Arial"/>
                <w:sz w:val="20"/>
                <w:szCs w:val="20"/>
              </w:rPr>
              <w:t xml:space="preserve">Publicado, 100 lecturas / 50 impresiones LinkedIn en 7 días</w:t>
            </w:r>
          </w:p>
        </w:tc>
      </w:tr>
      <w:tr>
        <w:tc>
          <w:tcPr>
            <w:tcW w:type="dxa" w:w="800"/>
            <w:tcBorders>
              <w:top w:val="single" w:color="AAAAAA" w:sz="1"/>
              <w:left w:val="single" w:color="AAAAAA" w:sz="1"/>
              <w:bottom w:val="single" w:color="AAAAAA" w:sz="1"/>
              <w:right w:val="single" w:color="AAAAAA" w:sz="1"/>
            </w:tcBorders>
            <w:shd w:fill="F0F4FA" w:val="clear"/>
            <w:tcMar>
              <w:top w:type="dxa" w:w="80"/>
              <w:left w:type="dxa" w:w="120"/>
              <w:bottom w:type="dxa" w:w="80"/>
              <w:right w:type="dxa" w:w="120"/>
            </w:tcMar>
          </w:tcPr>
          <w:p>
            <w:r>
              <w:rPr>
                <w:rFonts w:ascii="Arial" w:cs="Arial" w:eastAsia="Arial" w:hAnsi="Arial"/>
                <w:sz w:val="20"/>
                <w:szCs w:val="20"/>
              </w:rPr>
              <w:t xml:space="preserve">4</w:t>
            </w:r>
          </w:p>
        </w:tc>
        <w:tc>
          <w:tcPr>
            <w:tcW w:type="dxa" w:w="2000"/>
            <w:tcBorders>
              <w:top w:val="single" w:color="AAAAAA" w:sz="1"/>
              <w:left w:val="single" w:color="AAAAAA" w:sz="1"/>
              <w:bottom w:val="single" w:color="AAAAAA" w:sz="1"/>
              <w:right w:val="single" w:color="AAAAAA" w:sz="1"/>
            </w:tcBorders>
            <w:shd w:fill="F0F4FA" w:val="clear"/>
            <w:tcMar>
              <w:top w:type="dxa" w:w="80"/>
              <w:left w:type="dxa" w:w="120"/>
              <w:bottom w:type="dxa" w:w="80"/>
              <w:right w:type="dxa" w:w="120"/>
            </w:tcMar>
          </w:tcPr>
          <w:p>
            <w:r>
              <w:rPr>
                <w:rFonts w:ascii="Arial" w:cs="Arial" w:eastAsia="Arial" w:hAnsi="Arial"/>
                <w:sz w:val="20"/>
                <w:szCs w:val="20"/>
              </w:rPr>
              <w:t xml:space="preserve">Configurar secuencia de email</w:t>
            </w:r>
          </w:p>
        </w:tc>
        <w:tc>
          <w:tcPr>
            <w:tcW w:type="dxa" w:w="3400"/>
            <w:tcBorders>
              <w:top w:val="single" w:color="AAAAAA" w:sz="1"/>
              <w:left w:val="single" w:color="AAAAAA" w:sz="1"/>
              <w:bottom w:val="single" w:color="AAAAAA" w:sz="1"/>
              <w:right w:val="single" w:color="AAAAAA" w:sz="1"/>
            </w:tcBorders>
            <w:shd w:fill="F0F4FA" w:val="clear"/>
            <w:tcMar>
              <w:top w:type="dxa" w:w="80"/>
              <w:left w:type="dxa" w:w="120"/>
              <w:bottom w:type="dxa" w:w="80"/>
              <w:right w:type="dxa" w:w="120"/>
            </w:tcMar>
          </w:tcPr>
          <w:p>
            <w:r>
              <w:rPr>
                <w:rFonts w:ascii="Arial" w:cs="Arial" w:eastAsia="Arial" w:hAnsi="Arial"/>
                <w:sz w:val="20"/>
                <w:szCs w:val="20"/>
              </w:rPr>
              <w:t xml:space="preserve">ESP gratuito (Brevo/Mailerlite) + secuencia de 5 emails automatizados tras descarga del lead magnet (ver Bloque 4)</w:t>
            </w:r>
          </w:p>
        </w:tc>
        <w:tc>
          <w:tcPr>
            <w:tcW w:type="dxa" w:w="1500"/>
            <w:tcBorders>
              <w:top w:val="single" w:color="AAAAAA" w:sz="1"/>
              <w:left w:val="single" w:color="AAAAAA" w:sz="1"/>
              <w:bottom w:val="single" w:color="AAAAAA" w:sz="1"/>
              <w:right w:val="single" w:color="AAAAAA" w:sz="1"/>
            </w:tcBorders>
            <w:shd w:fill="F0F4FA" w:val="clear"/>
            <w:tcMar>
              <w:top w:type="dxa" w:w="80"/>
              <w:left w:type="dxa" w:w="120"/>
              <w:bottom w:type="dxa" w:w="80"/>
              <w:right w:type="dxa" w:w="120"/>
            </w:tcMar>
          </w:tcPr>
          <w:p>
            <w:r>
              <w:rPr>
                <w:rFonts w:ascii="Arial" w:cs="Arial" w:eastAsia="Arial" w:hAnsi="Arial"/>
                <w:sz w:val="20"/>
                <w:szCs w:val="20"/>
              </w:rPr>
              <w:t xml:space="preserve">Email</w:t>
            </w:r>
          </w:p>
        </w:tc>
        <w:tc>
          <w:tcPr>
            <w:tcW w:type="dxa" w:w="2100"/>
            <w:tcBorders>
              <w:top w:val="single" w:color="AAAAAA" w:sz="1"/>
              <w:left w:val="single" w:color="AAAAAA" w:sz="1"/>
              <w:bottom w:val="single" w:color="AAAAAA" w:sz="1"/>
              <w:right w:val="single" w:color="AAAAAA" w:sz="1"/>
            </w:tcBorders>
            <w:shd w:fill="F0F4FA" w:val="clear"/>
            <w:tcMar>
              <w:top w:type="dxa" w:w="80"/>
              <w:left w:type="dxa" w:w="120"/>
              <w:bottom w:type="dxa" w:w="80"/>
              <w:right w:type="dxa" w:w="120"/>
            </w:tcMar>
          </w:tcPr>
          <w:p>
            <w:r>
              <w:rPr>
                <w:rFonts w:ascii="Arial" w:cs="Arial" w:eastAsia="Arial" w:hAnsi="Arial"/>
                <w:sz w:val="20"/>
                <w:szCs w:val="20"/>
              </w:rPr>
              <w:t xml:space="preserve">Secuencia activa, 1er email entregado en &lt; 5 min tras descarga</w:t>
            </w:r>
          </w:p>
        </w:tc>
      </w:tr>
      <w:tr>
        <w:tc>
          <w:tcPr>
            <w:tcW w:type="dxa" w:w="80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tcPr>
          <w:p>
            <w:r>
              <w:rPr>
                <w:rFonts w:ascii="Arial" w:cs="Arial" w:eastAsia="Arial" w:hAnsi="Arial"/>
                <w:sz w:val="20"/>
                <w:szCs w:val="20"/>
              </w:rPr>
              <w:t xml:space="preserve">5-6</w:t>
            </w:r>
          </w:p>
        </w:tc>
        <w:tc>
          <w:tcPr>
            <w:tcW w:type="dxa" w:w="200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tcPr>
          <w:p>
            <w:r>
              <w:rPr>
                <w:rFonts w:ascii="Arial" w:cs="Arial" w:eastAsia="Arial" w:hAnsi="Arial"/>
                <w:sz w:val="20"/>
                <w:szCs w:val="20"/>
              </w:rPr>
              <w:t xml:space="preserve">Publicar 2 artículos SEO long-tail</w:t>
            </w:r>
          </w:p>
        </w:tc>
        <w:tc>
          <w:tcPr>
            <w:tcW w:type="dxa" w:w="340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tcPr>
          <w:p>
            <w:r>
              <w:rPr>
                <w:rFonts w:ascii="Arial" w:cs="Arial" w:eastAsia="Arial" w:hAnsi="Arial"/>
                <w:sz w:val="20"/>
                <w:szCs w:val="20"/>
              </w:rPr>
              <w:t xml:space="preserve">Artículo 2: 'Artículo 156 del Código Civil: cómo funciona cuando los padres no se ponen de acuerdo sobre la religión' · Artículo 3: 'Jurisdicción voluntaria y patria potestad: cuándo ir al juzgado sin contencioso'</w:t>
            </w:r>
          </w:p>
        </w:tc>
        <w:tc>
          <w:tcPr>
            <w:tcW w:type="dxa" w:w="150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tcPr>
          <w:p>
            <w:r>
              <w:rPr>
                <w:rFonts w:ascii="Arial" w:cs="Arial" w:eastAsia="Arial" w:hAnsi="Arial"/>
                <w:sz w:val="20"/>
                <w:szCs w:val="20"/>
              </w:rPr>
              <w:t xml:space="preserve">Blog + LinkedIn</w:t>
            </w:r>
          </w:p>
        </w:tc>
        <w:tc>
          <w:tcPr>
            <w:tcW w:type="dxa" w:w="210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tcPr>
          <w:p>
            <w:r>
              <w:rPr>
                <w:rFonts w:ascii="Arial" w:cs="Arial" w:eastAsia="Arial" w:hAnsi="Arial"/>
                <w:sz w:val="20"/>
                <w:szCs w:val="20"/>
              </w:rPr>
              <w:t xml:space="preserve">3 artículos indexados en Google en ≤ 30 días</w:t>
            </w:r>
          </w:p>
        </w:tc>
      </w:tr>
      <w:tr>
        <w:tc>
          <w:tcPr>
            <w:tcW w:type="dxa" w:w="800"/>
            <w:tcBorders>
              <w:top w:val="single" w:color="AAAAAA" w:sz="1"/>
              <w:left w:val="single" w:color="AAAAAA" w:sz="1"/>
              <w:bottom w:val="single" w:color="AAAAAA" w:sz="1"/>
              <w:right w:val="single" w:color="AAAAAA" w:sz="1"/>
            </w:tcBorders>
            <w:shd w:fill="F0F4FA" w:val="clear"/>
            <w:tcMar>
              <w:top w:type="dxa" w:w="80"/>
              <w:left w:type="dxa" w:w="120"/>
              <w:bottom w:type="dxa" w:w="80"/>
              <w:right w:type="dxa" w:w="120"/>
            </w:tcMar>
          </w:tcPr>
          <w:p>
            <w:r>
              <w:rPr>
                <w:rFonts w:ascii="Arial" w:cs="Arial" w:eastAsia="Arial" w:hAnsi="Arial"/>
                <w:sz w:val="20"/>
                <w:szCs w:val="20"/>
              </w:rPr>
              <w:t xml:space="preserve">6</w:t>
            </w:r>
          </w:p>
        </w:tc>
        <w:tc>
          <w:tcPr>
            <w:tcW w:type="dxa" w:w="2000"/>
            <w:tcBorders>
              <w:top w:val="single" w:color="AAAAAA" w:sz="1"/>
              <w:left w:val="single" w:color="AAAAAA" w:sz="1"/>
              <w:bottom w:val="single" w:color="AAAAAA" w:sz="1"/>
              <w:right w:val="single" w:color="AAAAAA" w:sz="1"/>
            </w:tcBorders>
            <w:shd w:fill="F0F4FA" w:val="clear"/>
            <w:tcMar>
              <w:top w:type="dxa" w:w="80"/>
              <w:left w:type="dxa" w:w="120"/>
              <w:bottom w:type="dxa" w:w="80"/>
              <w:right w:type="dxa" w:w="120"/>
            </w:tcMar>
          </w:tcPr>
          <w:p>
            <w:r>
              <w:rPr>
                <w:rFonts w:ascii="Arial" w:cs="Arial" w:eastAsia="Arial" w:hAnsi="Arial"/>
                <w:sz w:val="20"/>
                <w:szCs w:val="20"/>
              </w:rPr>
              <w:t xml:space="preserve">Primera campaña de contenido LinkedIn (carruseles)</w:t>
            </w:r>
          </w:p>
        </w:tc>
        <w:tc>
          <w:tcPr>
            <w:tcW w:type="dxa" w:w="3400"/>
            <w:tcBorders>
              <w:top w:val="single" w:color="AAAAAA" w:sz="1"/>
              <w:left w:val="single" w:color="AAAAAA" w:sz="1"/>
              <w:bottom w:val="single" w:color="AAAAAA" w:sz="1"/>
              <w:right w:val="single" w:color="AAAAAA" w:sz="1"/>
            </w:tcBorders>
            <w:shd w:fill="F0F4FA" w:val="clear"/>
            <w:tcMar>
              <w:top w:type="dxa" w:w="80"/>
              <w:left w:type="dxa" w:w="120"/>
              <w:bottom w:type="dxa" w:w="80"/>
              <w:right w:type="dxa" w:w="120"/>
            </w:tcMar>
          </w:tcPr>
          <w:p>
            <w:r>
              <w:rPr>
                <w:rFonts w:ascii="Arial" w:cs="Arial" w:eastAsia="Arial" w:hAnsi="Arial"/>
                <w:sz w:val="20"/>
                <w:szCs w:val="20"/>
              </w:rPr>
              <w:t xml:space="preserve">3 carruseles de 6-8 diapositivas sobre el tema (ver Bloque 3)</w:t>
            </w:r>
          </w:p>
        </w:tc>
        <w:tc>
          <w:tcPr>
            <w:tcW w:type="dxa" w:w="1500"/>
            <w:tcBorders>
              <w:top w:val="single" w:color="AAAAAA" w:sz="1"/>
              <w:left w:val="single" w:color="AAAAAA" w:sz="1"/>
              <w:bottom w:val="single" w:color="AAAAAA" w:sz="1"/>
              <w:right w:val="single" w:color="AAAAAA" w:sz="1"/>
            </w:tcBorders>
            <w:shd w:fill="F0F4FA" w:val="clear"/>
            <w:tcMar>
              <w:top w:type="dxa" w:w="80"/>
              <w:left w:type="dxa" w:w="120"/>
              <w:bottom w:type="dxa" w:w="80"/>
              <w:right w:type="dxa" w:w="120"/>
            </w:tcMar>
          </w:tcPr>
          <w:p>
            <w:r>
              <w:rPr>
                <w:rFonts w:ascii="Arial" w:cs="Arial" w:eastAsia="Arial" w:hAnsi="Arial"/>
                <w:sz w:val="20"/>
                <w:szCs w:val="20"/>
              </w:rPr>
              <w:t xml:space="preserve">LinkedIn</w:t>
            </w:r>
          </w:p>
        </w:tc>
        <w:tc>
          <w:tcPr>
            <w:tcW w:type="dxa" w:w="2100"/>
            <w:tcBorders>
              <w:top w:val="single" w:color="AAAAAA" w:sz="1"/>
              <w:left w:val="single" w:color="AAAAAA" w:sz="1"/>
              <w:bottom w:val="single" w:color="AAAAAA" w:sz="1"/>
              <w:right w:val="single" w:color="AAAAAA" w:sz="1"/>
            </w:tcBorders>
            <w:shd w:fill="F0F4FA" w:val="clear"/>
            <w:tcMar>
              <w:top w:type="dxa" w:w="80"/>
              <w:left w:type="dxa" w:w="120"/>
              <w:bottom w:type="dxa" w:w="80"/>
              <w:right w:type="dxa" w:w="120"/>
            </w:tcMar>
          </w:tcPr>
          <w:p>
            <w:r>
              <w:rPr>
                <w:rFonts w:ascii="Arial" w:cs="Arial" w:eastAsia="Arial" w:hAnsi="Arial"/>
                <w:sz w:val="20"/>
                <w:szCs w:val="20"/>
              </w:rPr>
              <w:t xml:space="preserve">≥ 200 impresiones por carrusel</w:t>
            </w:r>
          </w:p>
        </w:tc>
      </w:tr>
      <w:tr>
        <w:tc>
          <w:tcPr>
            <w:tcW w:type="dxa" w:w="80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tcPr>
          <w:p>
            <w:r>
              <w:rPr>
                <w:rFonts w:ascii="Arial" w:cs="Arial" w:eastAsia="Arial" w:hAnsi="Arial"/>
                <w:sz w:val="20"/>
                <w:szCs w:val="20"/>
              </w:rPr>
              <w:t xml:space="preserve">7-8</w:t>
            </w:r>
          </w:p>
        </w:tc>
        <w:tc>
          <w:tcPr>
            <w:tcW w:type="dxa" w:w="200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tcPr>
          <w:p>
            <w:r>
              <w:rPr>
                <w:rFonts w:ascii="Arial" w:cs="Arial" w:eastAsia="Arial" w:hAnsi="Arial"/>
                <w:sz w:val="20"/>
                <w:szCs w:val="20"/>
              </w:rPr>
              <w:t xml:space="preserve">Actualizar y ampliar landing (versión completa)</w:t>
            </w:r>
          </w:p>
        </w:tc>
        <w:tc>
          <w:tcPr>
            <w:tcW w:type="dxa" w:w="340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tcPr>
          <w:p>
            <w:r>
              <w:rPr>
                <w:rFonts w:ascii="Arial" w:cs="Arial" w:eastAsia="Arial" w:hAnsi="Arial"/>
                <w:sz w:val="20"/>
                <w:szCs w:val="20"/>
              </w:rPr>
              <w:t xml:space="preserve">Landing completa según especificación del Bloque 5: sección jurídica, escenarios, FAQ, prueba social vacía lista para testimonios</w:t>
            </w:r>
          </w:p>
        </w:tc>
        <w:tc>
          <w:tcPr>
            <w:tcW w:type="dxa" w:w="150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tcPr>
          <w:p>
            <w:r>
              <w:rPr>
                <w:rFonts w:ascii="Arial" w:cs="Arial" w:eastAsia="Arial" w:hAnsi="Arial"/>
                <w:sz w:val="20"/>
                <w:szCs w:val="20"/>
              </w:rPr>
              <w:t xml:space="preserve">Web</w:t>
            </w:r>
          </w:p>
        </w:tc>
        <w:tc>
          <w:tcPr>
            <w:tcW w:type="dxa" w:w="210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tcPr>
          <w:p>
            <w:r>
              <w:rPr>
                <w:rFonts w:ascii="Arial" w:cs="Arial" w:eastAsia="Arial" w:hAnsi="Arial"/>
                <w:sz w:val="20"/>
                <w:szCs w:val="20"/>
              </w:rPr>
              <w:t xml:space="preserve">Landing v2 publicada</w:t>
            </w:r>
          </w:p>
        </w:tc>
      </w:tr>
      <w:tr>
        <w:tc>
          <w:tcPr>
            <w:tcW w:type="dxa" w:w="800"/>
            <w:tcBorders>
              <w:top w:val="single" w:color="AAAAAA" w:sz="1"/>
              <w:left w:val="single" w:color="AAAAAA" w:sz="1"/>
              <w:bottom w:val="single" w:color="AAAAAA" w:sz="1"/>
              <w:right w:val="single" w:color="AAAAAA" w:sz="1"/>
            </w:tcBorders>
            <w:shd w:fill="F0F4FA" w:val="clear"/>
            <w:tcMar>
              <w:top w:type="dxa" w:w="80"/>
              <w:left w:type="dxa" w:w="120"/>
              <w:bottom w:type="dxa" w:w="80"/>
              <w:right w:type="dxa" w:w="120"/>
            </w:tcMar>
          </w:tcPr>
          <w:p>
            <w:r>
              <w:rPr>
                <w:rFonts w:ascii="Arial" w:cs="Arial" w:eastAsia="Arial" w:hAnsi="Arial"/>
                <w:sz w:val="20"/>
                <w:szCs w:val="20"/>
              </w:rPr>
              <w:t xml:space="preserve">8</w:t>
            </w:r>
          </w:p>
        </w:tc>
        <w:tc>
          <w:tcPr>
            <w:tcW w:type="dxa" w:w="2000"/>
            <w:tcBorders>
              <w:top w:val="single" w:color="AAAAAA" w:sz="1"/>
              <w:left w:val="single" w:color="AAAAAA" w:sz="1"/>
              <w:bottom w:val="single" w:color="AAAAAA" w:sz="1"/>
              <w:right w:val="single" w:color="AAAAAA" w:sz="1"/>
            </w:tcBorders>
            <w:shd w:fill="F0F4FA" w:val="clear"/>
            <w:tcMar>
              <w:top w:type="dxa" w:w="80"/>
              <w:left w:type="dxa" w:w="120"/>
              <w:bottom w:type="dxa" w:w="80"/>
              <w:right w:type="dxa" w:w="120"/>
            </w:tcMar>
          </w:tcPr>
          <w:p>
            <w:r>
              <w:rPr>
                <w:rFonts w:ascii="Arial" w:cs="Arial" w:eastAsia="Arial" w:hAnsi="Arial"/>
                <w:sz w:val="20"/>
                <w:szCs w:val="20"/>
              </w:rPr>
              <w:t xml:space="preserve">Configurar Google Ads micro-campaña local</w:t>
            </w:r>
          </w:p>
        </w:tc>
        <w:tc>
          <w:tcPr>
            <w:tcW w:type="dxa" w:w="3400"/>
            <w:tcBorders>
              <w:top w:val="single" w:color="AAAAAA" w:sz="1"/>
              <w:left w:val="single" w:color="AAAAAA" w:sz="1"/>
              <w:bottom w:val="single" w:color="AAAAAA" w:sz="1"/>
              <w:right w:val="single" w:color="AAAAAA" w:sz="1"/>
            </w:tcBorders>
            <w:shd w:fill="F0F4FA" w:val="clear"/>
            <w:tcMar>
              <w:top w:type="dxa" w:w="80"/>
              <w:left w:type="dxa" w:w="120"/>
              <w:bottom w:type="dxa" w:w="80"/>
              <w:right w:type="dxa" w:w="120"/>
            </w:tcMar>
          </w:tcPr>
          <w:p>
            <w:r>
              <w:rPr>
                <w:rFonts w:ascii="Arial" w:cs="Arial" w:eastAsia="Arial" w:hAnsi="Arial"/>
                <w:sz w:val="20"/>
                <w:szCs w:val="20"/>
              </w:rPr>
              <w:t xml:space="preserve">Campaña Search con 5 keywords de alta intención ('abogado primera comunión patria potestad', 'art 156 CC abogado', 'burofax formación religiosa menor'); presupuesto 5 €/día x 30 días = 150 €</w:t>
            </w:r>
          </w:p>
        </w:tc>
        <w:tc>
          <w:tcPr>
            <w:tcW w:type="dxa" w:w="1500"/>
            <w:tcBorders>
              <w:top w:val="single" w:color="AAAAAA" w:sz="1"/>
              <w:left w:val="single" w:color="AAAAAA" w:sz="1"/>
              <w:bottom w:val="single" w:color="AAAAAA" w:sz="1"/>
              <w:right w:val="single" w:color="AAAAAA" w:sz="1"/>
            </w:tcBorders>
            <w:shd w:fill="F0F4FA" w:val="clear"/>
            <w:tcMar>
              <w:top w:type="dxa" w:w="80"/>
              <w:left w:type="dxa" w:w="120"/>
              <w:bottom w:type="dxa" w:w="80"/>
              <w:right w:type="dxa" w:w="120"/>
            </w:tcMar>
          </w:tcPr>
          <w:p>
            <w:r>
              <w:rPr>
                <w:rFonts w:ascii="Arial" w:cs="Arial" w:eastAsia="Arial" w:hAnsi="Arial"/>
                <w:sz w:val="20"/>
                <w:szCs w:val="20"/>
              </w:rPr>
              <w:t xml:space="preserve">Google Ads</w:t>
            </w:r>
          </w:p>
        </w:tc>
        <w:tc>
          <w:tcPr>
            <w:tcW w:type="dxa" w:w="2100"/>
            <w:tcBorders>
              <w:top w:val="single" w:color="AAAAAA" w:sz="1"/>
              <w:left w:val="single" w:color="AAAAAA" w:sz="1"/>
              <w:bottom w:val="single" w:color="AAAAAA" w:sz="1"/>
              <w:right w:val="single" w:color="AAAAAA" w:sz="1"/>
            </w:tcBorders>
            <w:shd w:fill="F0F4FA" w:val="clear"/>
            <w:tcMar>
              <w:top w:type="dxa" w:w="80"/>
              <w:left w:type="dxa" w:w="120"/>
              <w:bottom w:type="dxa" w:w="80"/>
              <w:right w:type="dxa" w:w="120"/>
            </w:tcMar>
          </w:tcPr>
          <w:p>
            <w:r>
              <w:rPr>
                <w:rFonts w:ascii="Arial" w:cs="Arial" w:eastAsia="Arial" w:hAnsi="Arial"/>
                <w:sz w:val="20"/>
                <w:szCs w:val="20"/>
              </w:rPr>
              <w:t xml:space="preserve">CTR &gt; 3%, CPC &lt; 2 €, ≥ 3 leads en 30 días</w:t>
            </w:r>
          </w:p>
        </w:tc>
      </w:tr>
      <w:tr>
        <w:tc>
          <w:tcPr>
            <w:tcW w:type="dxa" w:w="80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tcPr>
          <w:p>
            <w:r>
              <w:rPr>
                <w:rFonts w:ascii="Arial" w:cs="Arial" w:eastAsia="Arial" w:hAnsi="Arial"/>
                <w:sz w:val="20"/>
                <w:szCs w:val="20"/>
              </w:rPr>
              <w:t xml:space="preserve">9-10</w:t>
            </w:r>
          </w:p>
        </w:tc>
        <w:tc>
          <w:tcPr>
            <w:tcW w:type="dxa" w:w="200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tcPr>
          <w:p>
            <w:r>
              <w:rPr>
                <w:rFonts w:ascii="Arial" w:cs="Arial" w:eastAsia="Arial" w:hAnsi="Arial"/>
                <w:sz w:val="20"/>
                <w:szCs w:val="20"/>
              </w:rPr>
              <w:t xml:space="preserve">Conseguir las 3 primeras reseñas verificadas</w:t>
            </w:r>
          </w:p>
        </w:tc>
        <w:tc>
          <w:tcPr>
            <w:tcW w:type="dxa" w:w="340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tcPr>
          <w:p>
            <w:r>
              <w:rPr>
                <w:rFonts w:ascii="Arial" w:cs="Arial" w:eastAsia="Arial" w:hAnsi="Arial"/>
                <w:sz w:val="20"/>
                <w:szCs w:val="20"/>
              </w:rPr>
              <w:t xml:space="preserve">Solicitar a clientes satisfechos (del caso de origen u otros) reseña en Google Business con texto anonimizado; redactar borrador para el cliente si lo necesita</w:t>
            </w:r>
          </w:p>
        </w:tc>
        <w:tc>
          <w:tcPr>
            <w:tcW w:type="dxa" w:w="150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tcPr>
          <w:p>
            <w:r>
              <w:rPr>
                <w:rFonts w:ascii="Arial" w:cs="Arial" w:eastAsia="Arial" w:hAnsi="Arial"/>
                <w:sz w:val="20"/>
                <w:szCs w:val="20"/>
              </w:rPr>
              <w:t xml:space="preserve">Google Business</w:t>
            </w:r>
          </w:p>
        </w:tc>
        <w:tc>
          <w:tcPr>
            <w:tcW w:type="dxa" w:w="210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tcPr>
          <w:p>
            <w:r>
              <w:rPr>
                <w:rFonts w:ascii="Arial" w:cs="Arial" w:eastAsia="Arial" w:hAnsi="Arial"/>
                <w:sz w:val="20"/>
                <w:szCs w:val="20"/>
              </w:rPr>
              <w:t xml:space="preserve">3 reseñas con ≥ 4 estrellas publicadas</w:t>
            </w:r>
          </w:p>
        </w:tc>
      </w:tr>
      <w:tr>
        <w:tc>
          <w:tcPr>
            <w:tcW w:type="dxa" w:w="800"/>
            <w:tcBorders>
              <w:top w:val="single" w:color="AAAAAA" w:sz="1"/>
              <w:left w:val="single" w:color="AAAAAA" w:sz="1"/>
              <w:bottom w:val="single" w:color="AAAAAA" w:sz="1"/>
              <w:right w:val="single" w:color="AAAAAA" w:sz="1"/>
            </w:tcBorders>
            <w:shd w:fill="F0F4FA" w:val="clear"/>
            <w:tcMar>
              <w:top w:type="dxa" w:w="80"/>
              <w:left w:type="dxa" w:w="120"/>
              <w:bottom w:type="dxa" w:w="80"/>
              <w:right w:type="dxa" w:w="120"/>
            </w:tcMar>
          </w:tcPr>
          <w:p>
            <w:r>
              <w:rPr>
                <w:rFonts w:ascii="Arial" w:cs="Arial" w:eastAsia="Arial" w:hAnsi="Arial"/>
                <w:sz w:val="20"/>
                <w:szCs w:val="20"/>
              </w:rPr>
              <w:t xml:space="preserve">10-12</w:t>
            </w:r>
          </w:p>
        </w:tc>
        <w:tc>
          <w:tcPr>
            <w:tcW w:type="dxa" w:w="2000"/>
            <w:tcBorders>
              <w:top w:val="single" w:color="AAAAAA" w:sz="1"/>
              <w:left w:val="single" w:color="AAAAAA" w:sz="1"/>
              <w:bottom w:val="single" w:color="AAAAAA" w:sz="1"/>
              <w:right w:val="single" w:color="AAAAAA" w:sz="1"/>
            </w:tcBorders>
            <w:shd w:fill="F0F4FA" w:val="clear"/>
            <w:tcMar>
              <w:top w:type="dxa" w:w="80"/>
              <w:left w:type="dxa" w:w="120"/>
              <w:bottom w:type="dxa" w:w="80"/>
              <w:right w:type="dxa" w:w="120"/>
            </w:tcMar>
          </w:tcPr>
          <w:p>
            <w:r>
              <w:rPr>
                <w:rFonts w:ascii="Arial" w:cs="Arial" w:eastAsia="Arial" w:hAnsi="Arial"/>
                <w:sz w:val="20"/>
                <w:szCs w:val="20"/>
              </w:rPr>
              <w:t xml:space="preserve">Publicar calendario de contenido completo</w:t>
            </w:r>
          </w:p>
        </w:tc>
        <w:tc>
          <w:tcPr>
            <w:tcW w:type="dxa" w:w="3400"/>
            <w:tcBorders>
              <w:top w:val="single" w:color="AAAAAA" w:sz="1"/>
              <w:left w:val="single" w:color="AAAAAA" w:sz="1"/>
              <w:bottom w:val="single" w:color="AAAAAA" w:sz="1"/>
              <w:right w:val="single" w:color="AAAAAA" w:sz="1"/>
            </w:tcBorders>
            <w:shd w:fill="F0F4FA" w:val="clear"/>
            <w:tcMar>
              <w:top w:type="dxa" w:w="80"/>
              <w:left w:type="dxa" w:w="120"/>
              <w:bottom w:type="dxa" w:w="80"/>
              <w:right w:type="dxa" w:w="120"/>
            </w:tcMar>
          </w:tcPr>
          <w:p>
            <w:r>
              <w:rPr>
                <w:rFonts w:ascii="Arial" w:cs="Arial" w:eastAsia="Arial" w:hAnsi="Arial"/>
                <w:sz w:val="20"/>
                <w:szCs w:val="20"/>
              </w:rPr>
              <w:t xml:space="preserve">12 artículos publicados (1/semana), 36 piezas cortas LinkedIn (3/semana), según calendario Bloque 3</w:t>
            </w:r>
          </w:p>
        </w:tc>
        <w:tc>
          <w:tcPr>
            <w:tcW w:type="dxa" w:w="1500"/>
            <w:tcBorders>
              <w:top w:val="single" w:color="AAAAAA" w:sz="1"/>
              <w:left w:val="single" w:color="AAAAAA" w:sz="1"/>
              <w:bottom w:val="single" w:color="AAAAAA" w:sz="1"/>
              <w:right w:val="single" w:color="AAAAAA" w:sz="1"/>
            </w:tcBorders>
            <w:shd w:fill="F0F4FA" w:val="clear"/>
            <w:tcMar>
              <w:top w:type="dxa" w:w="80"/>
              <w:left w:type="dxa" w:w="120"/>
              <w:bottom w:type="dxa" w:w="80"/>
              <w:right w:type="dxa" w:w="120"/>
            </w:tcMar>
          </w:tcPr>
          <w:p>
            <w:r>
              <w:rPr>
                <w:rFonts w:ascii="Arial" w:cs="Arial" w:eastAsia="Arial" w:hAnsi="Arial"/>
                <w:sz w:val="20"/>
                <w:szCs w:val="20"/>
              </w:rPr>
              <w:t xml:space="preserve">Blog + LinkedIn</w:t>
            </w:r>
          </w:p>
        </w:tc>
        <w:tc>
          <w:tcPr>
            <w:tcW w:type="dxa" w:w="2100"/>
            <w:tcBorders>
              <w:top w:val="single" w:color="AAAAAA" w:sz="1"/>
              <w:left w:val="single" w:color="AAAAAA" w:sz="1"/>
              <w:bottom w:val="single" w:color="AAAAAA" w:sz="1"/>
              <w:right w:val="single" w:color="AAAAAA" w:sz="1"/>
            </w:tcBorders>
            <w:shd w:fill="F0F4FA" w:val="clear"/>
            <w:tcMar>
              <w:top w:type="dxa" w:w="80"/>
              <w:left w:type="dxa" w:w="120"/>
              <w:bottom w:type="dxa" w:w="80"/>
              <w:right w:type="dxa" w:w="120"/>
            </w:tcMar>
          </w:tcPr>
          <w:p>
            <w:r>
              <w:rPr>
                <w:rFonts w:ascii="Arial" w:cs="Arial" w:eastAsia="Arial" w:hAnsi="Arial"/>
                <w:sz w:val="20"/>
                <w:szCs w:val="20"/>
              </w:rPr>
              <w:t xml:space="preserve">Domain Authority ≥ 10 (Moz/Ahrefs free), ≥ 150 seguidores en LinkedIn</w:t>
            </w:r>
          </w:p>
        </w:tc>
      </w:tr>
      <w:tr>
        <w:tc>
          <w:tcPr>
            <w:tcW w:type="dxa" w:w="80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tcPr>
          <w:p>
            <w:r>
              <w:rPr>
                <w:rFonts w:ascii="Arial" w:cs="Arial" w:eastAsia="Arial" w:hAnsi="Arial"/>
                <w:sz w:val="20"/>
                <w:szCs w:val="20"/>
              </w:rPr>
              <w:t xml:space="preserve">12-13</w:t>
            </w:r>
          </w:p>
        </w:tc>
        <w:tc>
          <w:tcPr>
            <w:tcW w:type="dxa" w:w="200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tcPr>
          <w:p>
            <w:r>
              <w:rPr>
                <w:rFonts w:ascii="Arial" w:cs="Arial" w:eastAsia="Arial" w:hAnsi="Arial"/>
                <w:sz w:val="20"/>
                <w:szCs w:val="20"/>
              </w:rPr>
              <w:t xml:space="preserve">Revisión y ajuste de KPIs</w:t>
            </w:r>
          </w:p>
        </w:tc>
        <w:tc>
          <w:tcPr>
            <w:tcW w:type="dxa" w:w="340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tcPr>
          <w:p>
            <w:r>
              <w:rPr>
                <w:rFonts w:ascii="Arial" w:cs="Arial" w:eastAsia="Arial" w:hAnsi="Arial"/>
                <w:sz w:val="20"/>
                <w:szCs w:val="20"/>
              </w:rPr>
              <w:t xml:space="preserve">Revisar Google Analytics, Search Console (posiciones para keywords objetivo), métricas LinkedIn y leads generados. Documento de 1 página con ajustes para el trimestre 2</w:t>
            </w:r>
          </w:p>
        </w:tc>
        <w:tc>
          <w:tcPr>
            <w:tcW w:type="dxa" w:w="150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tcPr>
          <w:p>
            <w:r>
              <w:rPr>
                <w:rFonts w:ascii="Arial" w:cs="Arial" w:eastAsia="Arial" w:hAnsi="Arial"/>
                <w:sz w:val="20"/>
                <w:szCs w:val="20"/>
              </w:rPr>
              <w:t xml:space="preserve">Interno</w:t>
            </w:r>
          </w:p>
        </w:tc>
        <w:tc>
          <w:tcPr>
            <w:tcW w:type="dxa" w:w="210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tcPr>
          <w:p>
            <w:r>
              <w:rPr>
                <w:rFonts w:ascii="Arial" w:cs="Arial" w:eastAsia="Arial" w:hAnsi="Arial"/>
                <w:sz w:val="20"/>
                <w:szCs w:val="20"/>
              </w:rPr>
              <w:t xml:space="preserve">Informe completado; decisión sobre escalar Ads o no</w:t>
            </w:r>
          </w:p>
        </w:tc>
      </w:tr>
    </w:tbl>
    <w:p>
      <w:pPr>
        <w:spacing w:after="120"/>
      </w:pPr>
      <w:r>
        <w:t xml:space="preserve"/>
      </w:r>
    </w:p>
    <w:p>
      <w:pPr>
        <w:pStyle w:val="Heading2"/>
        <w:spacing w:after="120" w:before="280"/>
      </w:pPr>
      <w:r>
        <w:rPr>
          <w:rFonts w:ascii="Arial" w:cs="Arial" w:eastAsia="Arial" w:hAnsi="Arial"/>
          <w:b/>
          <w:bCs/>
          <w:color w:val="2E75B6"/>
          <w:sz w:val="28"/>
          <w:szCs w:val="28"/>
        </w:rPr>
        <w:t xml:space="preserve">2.1 Presupuesto estimado a 90 días</w:t>
      </w:r>
    </w:p>
    <w:tbl>
      <w:tblPr>
        <w:tblW w:type="dxa" w:w="9800"/>
        <w:tblBorders>
          <w:top w:val="single" w:color="auto" w:sz="4"/>
          <w:left w:val="single" w:color="auto" w:sz="4"/>
          <w:bottom w:val="single" w:color="auto" w:sz="4"/>
          <w:right w:val="single" w:color="auto" w:sz="4"/>
          <w:insideH w:val="single" w:color="auto" w:sz="4"/>
          <w:insideV w:val="single" w:color="auto" w:sz="4"/>
        </w:tblBorders>
      </w:tblPr>
      <w:tblGrid>
        <w:gridCol w:w="4000"/>
        <w:gridCol w:w="2500"/>
        <w:gridCol w:w="3300"/>
      </w:tblGrid>
      <w:tr>
        <w:trPr>
          <w:tblHeader/>
        </w:trPr>
        <w:tc>
          <w:tcPr>
            <w:tcW w:type="dxa" w:w="4000"/>
            <w:tcBorders>
              <w:top w:val="single" w:color="AAAAAA" w:sz="1"/>
              <w:left w:val="single" w:color="AAAAAA" w:sz="1"/>
              <w:bottom w:val="single" w:color="AAAAAA" w:sz="1"/>
              <w:right w:val="single" w:color="AAAAAA" w:sz="1"/>
            </w:tcBorders>
            <w:shd w:fill="1F4E79" w:val="clear"/>
            <w:tcMar>
              <w:top w:type="dxa" w:w="80"/>
              <w:left w:type="dxa" w:w="120"/>
              <w:bottom w:type="dxa" w:w="80"/>
              <w:right w:type="dxa" w:w="120"/>
            </w:tcMar>
            <w:vAlign w:val="center"/>
          </w:tcPr>
          <w:p>
            <w:pPr>
              <w:jc w:val="center"/>
            </w:pPr>
            <w:r>
              <w:rPr>
                <w:rFonts w:ascii="Arial" w:cs="Arial" w:eastAsia="Arial" w:hAnsi="Arial"/>
                <w:b/>
                <w:bCs/>
                <w:color w:val="FFFFFF"/>
                <w:sz w:val="20"/>
                <w:szCs w:val="20"/>
              </w:rPr>
              <w:t xml:space="preserve">Partida</w:t>
            </w:r>
          </w:p>
        </w:tc>
        <w:tc>
          <w:tcPr>
            <w:tcW w:type="dxa" w:w="2500"/>
            <w:tcBorders>
              <w:top w:val="single" w:color="AAAAAA" w:sz="1"/>
              <w:left w:val="single" w:color="AAAAAA" w:sz="1"/>
              <w:bottom w:val="single" w:color="AAAAAA" w:sz="1"/>
              <w:right w:val="single" w:color="AAAAAA" w:sz="1"/>
            </w:tcBorders>
            <w:shd w:fill="1F4E79" w:val="clear"/>
            <w:tcMar>
              <w:top w:type="dxa" w:w="80"/>
              <w:left w:type="dxa" w:w="120"/>
              <w:bottom w:type="dxa" w:w="80"/>
              <w:right w:type="dxa" w:w="120"/>
            </w:tcMar>
            <w:vAlign w:val="center"/>
          </w:tcPr>
          <w:p>
            <w:pPr>
              <w:jc w:val="center"/>
            </w:pPr>
            <w:r>
              <w:rPr>
                <w:rFonts w:ascii="Arial" w:cs="Arial" w:eastAsia="Arial" w:hAnsi="Arial"/>
                <w:b/>
                <w:bCs/>
                <w:color w:val="FFFFFF"/>
                <w:sz w:val="20"/>
                <w:szCs w:val="20"/>
              </w:rPr>
              <w:t xml:space="preserve">Coste estimado (€)</w:t>
            </w:r>
          </w:p>
        </w:tc>
        <w:tc>
          <w:tcPr>
            <w:tcW w:type="dxa" w:w="3300"/>
            <w:tcBorders>
              <w:top w:val="single" w:color="AAAAAA" w:sz="1"/>
              <w:left w:val="single" w:color="AAAAAA" w:sz="1"/>
              <w:bottom w:val="single" w:color="AAAAAA" w:sz="1"/>
              <w:right w:val="single" w:color="AAAAAA" w:sz="1"/>
            </w:tcBorders>
            <w:shd w:fill="1F4E79" w:val="clear"/>
            <w:tcMar>
              <w:top w:type="dxa" w:w="80"/>
              <w:left w:type="dxa" w:w="120"/>
              <w:bottom w:type="dxa" w:w="80"/>
              <w:right w:type="dxa" w:w="120"/>
            </w:tcMar>
            <w:vAlign w:val="center"/>
          </w:tcPr>
          <w:p>
            <w:pPr>
              <w:jc w:val="center"/>
            </w:pPr>
            <w:r>
              <w:rPr>
                <w:rFonts w:ascii="Arial" w:cs="Arial" w:eastAsia="Arial" w:hAnsi="Arial"/>
                <w:b/>
                <w:bCs/>
                <w:color w:val="FFFFFF"/>
                <w:sz w:val="20"/>
                <w:szCs w:val="20"/>
              </w:rPr>
              <w:t xml:space="preserve">Notas</w:t>
            </w:r>
          </w:p>
        </w:tc>
      </w:tr>
      <w:tr>
        <w:tc>
          <w:tcPr>
            <w:tcW w:type="dxa" w:w="400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tcPr>
          <w:p>
            <w:r>
              <w:rPr>
                <w:rFonts w:ascii="Arial" w:cs="Arial" w:eastAsia="Arial" w:hAnsi="Arial"/>
                <w:sz w:val="20"/>
                <w:szCs w:val="20"/>
              </w:rPr>
              <w:t xml:space="preserve">Dominio .es (1 año)</w:t>
            </w:r>
          </w:p>
        </w:tc>
        <w:tc>
          <w:tcPr>
            <w:tcW w:type="dxa" w:w="250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tcPr>
          <w:p>
            <w:r>
              <w:rPr>
                <w:rFonts w:ascii="Arial" w:cs="Arial" w:eastAsia="Arial" w:hAnsi="Arial"/>
                <w:sz w:val="20"/>
                <w:szCs w:val="20"/>
              </w:rPr>
              <w:t xml:space="preserve">15</w:t>
            </w:r>
          </w:p>
        </w:tc>
        <w:tc>
          <w:tcPr>
            <w:tcW w:type="dxa" w:w="330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tcPr>
          <w:p>
            <w:r>
              <w:rPr>
                <w:rFonts w:ascii="Arial" w:cs="Arial" w:eastAsia="Arial" w:hAnsi="Arial"/>
                <w:sz w:val="20"/>
                <w:szCs w:val="20"/>
              </w:rPr>
              <w:t xml:space="preserve">Donweb, Arsys o similar</w:t>
            </w:r>
          </w:p>
        </w:tc>
      </w:tr>
      <w:tr>
        <w:tc>
          <w:tcPr>
            <w:tcW w:type="dxa" w:w="4000"/>
            <w:tcBorders>
              <w:top w:val="single" w:color="AAAAAA" w:sz="1"/>
              <w:left w:val="single" w:color="AAAAAA" w:sz="1"/>
              <w:bottom w:val="single" w:color="AAAAAA" w:sz="1"/>
              <w:right w:val="single" w:color="AAAAAA" w:sz="1"/>
            </w:tcBorders>
            <w:shd w:fill="F0F4FA" w:val="clear"/>
            <w:tcMar>
              <w:top w:type="dxa" w:w="80"/>
              <w:left w:type="dxa" w:w="120"/>
              <w:bottom w:type="dxa" w:w="80"/>
              <w:right w:type="dxa" w:w="120"/>
            </w:tcMar>
          </w:tcPr>
          <w:p>
            <w:r>
              <w:rPr>
                <w:rFonts w:ascii="Arial" w:cs="Arial" w:eastAsia="Arial" w:hAnsi="Arial"/>
                <w:sz w:val="20"/>
                <w:szCs w:val="20"/>
              </w:rPr>
              <w:t xml:space="preserve">Hosting WordPress (1 año, plan básico)</w:t>
            </w:r>
          </w:p>
        </w:tc>
        <w:tc>
          <w:tcPr>
            <w:tcW w:type="dxa" w:w="2500"/>
            <w:tcBorders>
              <w:top w:val="single" w:color="AAAAAA" w:sz="1"/>
              <w:left w:val="single" w:color="AAAAAA" w:sz="1"/>
              <w:bottom w:val="single" w:color="AAAAAA" w:sz="1"/>
              <w:right w:val="single" w:color="AAAAAA" w:sz="1"/>
            </w:tcBorders>
            <w:shd w:fill="F0F4FA" w:val="clear"/>
            <w:tcMar>
              <w:top w:type="dxa" w:w="80"/>
              <w:left w:type="dxa" w:w="120"/>
              <w:bottom w:type="dxa" w:w="80"/>
              <w:right w:type="dxa" w:w="120"/>
            </w:tcMar>
          </w:tcPr>
          <w:p>
            <w:r>
              <w:rPr>
                <w:rFonts w:ascii="Arial" w:cs="Arial" w:eastAsia="Arial" w:hAnsi="Arial"/>
                <w:sz w:val="20"/>
                <w:szCs w:val="20"/>
              </w:rPr>
              <w:t xml:space="preserve">80</w:t>
            </w:r>
          </w:p>
        </w:tc>
        <w:tc>
          <w:tcPr>
            <w:tcW w:type="dxa" w:w="3300"/>
            <w:tcBorders>
              <w:top w:val="single" w:color="AAAAAA" w:sz="1"/>
              <w:left w:val="single" w:color="AAAAAA" w:sz="1"/>
              <w:bottom w:val="single" w:color="AAAAAA" w:sz="1"/>
              <w:right w:val="single" w:color="AAAAAA" w:sz="1"/>
            </w:tcBorders>
            <w:shd w:fill="F0F4FA" w:val="clear"/>
            <w:tcMar>
              <w:top w:type="dxa" w:w="80"/>
              <w:left w:type="dxa" w:w="120"/>
              <w:bottom w:type="dxa" w:w="80"/>
              <w:right w:type="dxa" w:w="120"/>
            </w:tcMar>
          </w:tcPr>
          <w:p>
            <w:r>
              <w:rPr>
                <w:rFonts w:ascii="Arial" w:cs="Arial" w:eastAsia="Arial" w:hAnsi="Arial"/>
                <w:sz w:val="20"/>
                <w:szCs w:val="20"/>
              </w:rPr>
              <w:t xml:space="preserve">SiteGround, Hostinger o similar</w:t>
            </w:r>
          </w:p>
        </w:tc>
      </w:tr>
      <w:tr>
        <w:tc>
          <w:tcPr>
            <w:tcW w:type="dxa" w:w="400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tcPr>
          <w:p>
            <w:r>
              <w:rPr>
                <w:rFonts w:ascii="Arial" w:cs="Arial" w:eastAsia="Arial" w:hAnsi="Arial"/>
                <w:sz w:val="20"/>
                <w:szCs w:val="20"/>
              </w:rPr>
              <w:t xml:space="preserve">Tema WordPress premium (licencia única)</w:t>
            </w:r>
          </w:p>
        </w:tc>
        <w:tc>
          <w:tcPr>
            <w:tcW w:type="dxa" w:w="250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tcPr>
          <w:p>
            <w:r>
              <w:rPr>
                <w:rFonts w:ascii="Arial" w:cs="Arial" w:eastAsia="Arial" w:hAnsi="Arial"/>
                <w:sz w:val="20"/>
                <w:szCs w:val="20"/>
              </w:rPr>
              <w:t xml:space="preserve">70</w:t>
            </w:r>
          </w:p>
        </w:tc>
        <w:tc>
          <w:tcPr>
            <w:tcW w:type="dxa" w:w="330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tcPr>
          <w:p>
            <w:r>
              <w:rPr>
                <w:rFonts w:ascii="Arial" w:cs="Arial" w:eastAsia="Arial" w:hAnsi="Arial"/>
                <w:sz w:val="20"/>
                <w:szCs w:val="20"/>
              </w:rPr>
              <w:t xml:space="preserve">Astra Pro, GeneratePress o similar</w:t>
            </w:r>
          </w:p>
        </w:tc>
      </w:tr>
      <w:tr>
        <w:tc>
          <w:tcPr>
            <w:tcW w:type="dxa" w:w="4000"/>
            <w:tcBorders>
              <w:top w:val="single" w:color="AAAAAA" w:sz="1"/>
              <w:left w:val="single" w:color="AAAAAA" w:sz="1"/>
              <w:bottom w:val="single" w:color="AAAAAA" w:sz="1"/>
              <w:right w:val="single" w:color="AAAAAA" w:sz="1"/>
            </w:tcBorders>
            <w:shd w:fill="F0F4FA" w:val="clear"/>
            <w:tcMar>
              <w:top w:type="dxa" w:w="80"/>
              <w:left w:type="dxa" w:w="120"/>
              <w:bottom w:type="dxa" w:w="80"/>
              <w:right w:type="dxa" w:w="120"/>
            </w:tcMar>
          </w:tcPr>
          <w:p>
            <w:r>
              <w:rPr>
                <w:rFonts w:ascii="Arial" w:cs="Arial" w:eastAsia="Arial" w:hAnsi="Arial"/>
                <w:sz w:val="20"/>
                <w:szCs w:val="20"/>
              </w:rPr>
              <w:t xml:space="preserve">Diseño logo / identidad básica (freelance)</w:t>
            </w:r>
          </w:p>
        </w:tc>
        <w:tc>
          <w:tcPr>
            <w:tcW w:type="dxa" w:w="2500"/>
            <w:tcBorders>
              <w:top w:val="single" w:color="AAAAAA" w:sz="1"/>
              <w:left w:val="single" w:color="AAAAAA" w:sz="1"/>
              <w:bottom w:val="single" w:color="AAAAAA" w:sz="1"/>
              <w:right w:val="single" w:color="AAAAAA" w:sz="1"/>
            </w:tcBorders>
            <w:shd w:fill="F0F4FA" w:val="clear"/>
            <w:tcMar>
              <w:top w:type="dxa" w:w="80"/>
              <w:left w:type="dxa" w:w="120"/>
              <w:bottom w:type="dxa" w:w="80"/>
              <w:right w:type="dxa" w:w="120"/>
            </w:tcMar>
          </w:tcPr>
          <w:p>
            <w:r>
              <w:rPr>
                <w:rFonts w:ascii="Arial" w:cs="Arial" w:eastAsia="Arial" w:hAnsi="Arial"/>
                <w:sz w:val="20"/>
                <w:szCs w:val="20"/>
              </w:rPr>
              <w:t xml:space="preserve">200</w:t>
            </w:r>
          </w:p>
        </w:tc>
        <w:tc>
          <w:tcPr>
            <w:tcW w:type="dxa" w:w="3300"/>
            <w:tcBorders>
              <w:top w:val="single" w:color="AAAAAA" w:sz="1"/>
              <w:left w:val="single" w:color="AAAAAA" w:sz="1"/>
              <w:bottom w:val="single" w:color="AAAAAA" w:sz="1"/>
              <w:right w:val="single" w:color="AAAAAA" w:sz="1"/>
            </w:tcBorders>
            <w:shd w:fill="F0F4FA" w:val="clear"/>
            <w:tcMar>
              <w:top w:type="dxa" w:w="80"/>
              <w:left w:type="dxa" w:w="120"/>
              <w:bottom w:type="dxa" w:w="80"/>
              <w:right w:type="dxa" w:w="120"/>
            </w:tcMar>
          </w:tcPr>
          <w:p>
            <w:r>
              <w:rPr>
                <w:rFonts w:ascii="Arial" w:cs="Arial" w:eastAsia="Arial" w:hAnsi="Arial"/>
                <w:sz w:val="20"/>
                <w:szCs w:val="20"/>
              </w:rPr>
              <w:t xml:space="preserve">Fiverr o Malt; entregable: logo + paleta + tipografía</w:t>
            </w:r>
          </w:p>
        </w:tc>
      </w:tr>
      <w:tr>
        <w:tc>
          <w:tcPr>
            <w:tcW w:type="dxa" w:w="400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tcPr>
          <w:p>
            <w:r>
              <w:rPr>
                <w:rFonts w:ascii="Arial" w:cs="Arial" w:eastAsia="Arial" w:hAnsi="Arial"/>
                <w:sz w:val="20"/>
                <w:szCs w:val="20"/>
              </w:rPr>
              <w:t xml:space="preserve">Maquetación lead magnet PDF (freelance)</w:t>
            </w:r>
          </w:p>
        </w:tc>
        <w:tc>
          <w:tcPr>
            <w:tcW w:type="dxa" w:w="250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tcPr>
          <w:p>
            <w:r>
              <w:rPr>
                <w:rFonts w:ascii="Arial" w:cs="Arial" w:eastAsia="Arial" w:hAnsi="Arial"/>
                <w:sz w:val="20"/>
                <w:szCs w:val="20"/>
              </w:rPr>
              <w:t xml:space="preserve">100</w:t>
            </w:r>
          </w:p>
        </w:tc>
        <w:tc>
          <w:tcPr>
            <w:tcW w:type="dxa" w:w="330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tcPr>
          <w:p>
            <w:r>
              <w:rPr>
                <w:rFonts w:ascii="Arial" w:cs="Arial" w:eastAsia="Arial" w:hAnsi="Arial"/>
                <w:sz w:val="20"/>
                <w:szCs w:val="20"/>
              </w:rPr>
              <w:t xml:space="preserve">1-2 horas de diseñador; plantilla reutilizable</w:t>
            </w:r>
          </w:p>
        </w:tc>
      </w:tr>
      <w:tr>
        <w:tc>
          <w:tcPr>
            <w:tcW w:type="dxa" w:w="4000"/>
            <w:tcBorders>
              <w:top w:val="single" w:color="AAAAAA" w:sz="1"/>
              <w:left w:val="single" w:color="AAAAAA" w:sz="1"/>
              <w:bottom w:val="single" w:color="AAAAAA" w:sz="1"/>
              <w:right w:val="single" w:color="AAAAAA" w:sz="1"/>
            </w:tcBorders>
            <w:shd w:fill="F0F4FA" w:val="clear"/>
            <w:tcMar>
              <w:top w:type="dxa" w:w="80"/>
              <w:left w:type="dxa" w:w="120"/>
              <w:bottom w:type="dxa" w:w="80"/>
              <w:right w:type="dxa" w:w="120"/>
            </w:tcMar>
          </w:tcPr>
          <w:p>
            <w:r>
              <w:rPr>
                <w:rFonts w:ascii="Arial" w:cs="Arial" w:eastAsia="Arial" w:hAnsi="Arial"/>
                <w:sz w:val="20"/>
                <w:szCs w:val="20"/>
              </w:rPr>
              <w:t xml:space="preserve">ESP email (Brevo gratuito hasta 300 emails/día)</w:t>
            </w:r>
          </w:p>
        </w:tc>
        <w:tc>
          <w:tcPr>
            <w:tcW w:type="dxa" w:w="2500"/>
            <w:tcBorders>
              <w:top w:val="single" w:color="AAAAAA" w:sz="1"/>
              <w:left w:val="single" w:color="AAAAAA" w:sz="1"/>
              <w:bottom w:val="single" w:color="AAAAAA" w:sz="1"/>
              <w:right w:val="single" w:color="AAAAAA" w:sz="1"/>
            </w:tcBorders>
            <w:shd w:fill="F0F4FA" w:val="clear"/>
            <w:tcMar>
              <w:top w:type="dxa" w:w="80"/>
              <w:left w:type="dxa" w:w="120"/>
              <w:bottom w:type="dxa" w:w="80"/>
              <w:right w:type="dxa" w:w="120"/>
            </w:tcMar>
          </w:tcPr>
          <w:p>
            <w:r>
              <w:rPr>
                <w:rFonts w:ascii="Arial" w:cs="Arial" w:eastAsia="Arial" w:hAnsi="Arial"/>
                <w:sz w:val="20"/>
                <w:szCs w:val="20"/>
              </w:rPr>
              <w:t xml:space="preserve">0</w:t>
            </w:r>
          </w:p>
        </w:tc>
        <w:tc>
          <w:tcPr>
            <w:tcW w:type="dxa" w:w="3300"/>
            <w:tcBorders>
              <w:top w:val="single" w:color="AAAAAA" w:sz="1"/>
              <w:left w:val="single" w:color="AAAAAA" w:sz="1"/>
              <w:bottom w:val="single" w:color="AAAAAA" w:sz="1"/>
              <w:right w:val="single" w:color="AAAAAA" w:sz="1"/>
            </w:tcBorders>
            <w:shd w:fill="F0F4FA" w:val="clear"/>
            <w:tcMar>
              <w:top w:type="dxa" w:w="80"/>
              <w:left w:type="dxa" w:w="120"/>
              <w:bottom w:type="dxa" w:w="80"/>
              <w:right w:type="dxa" w:w="120"/>
            </w:tcMar>
          </w:tcPr>
          <w:p>
            <w:r>
              <w:rPr>
                <w:rFonts w:ascii="Arial" w:cs="Arial" w:eastAsia="Arial" w:hAnsi="Arial"/>
                <w:sz w:val="20"/>
                <w:szCs w:val="20"/>
              </w:rPr>
              <w:t xml:space="preserve">Plan gratuito suficiente en fase inicial</w:t>
            </w:r>
          </w:p>
        </w:tc>
      </w:tr>
      <w:tr>
        <w:tc>
          <w:tcPr>
            <w:tcW w:type="dxa" w:w="400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tcPr>
          <w:p>
            <w:r>
              <w:rPr>
                <w:rFonts w:ascii="Arial" w:cs="Arial" w:eastAsia="Arial" w:hAnsi="Arial"/>
                <w:sz w:val="20"/>
                <w:szCs w:val="20"/>
              </w:rPr>
              <w:t xml:space="preserve">Google Ads micro-campaña (30 días)</w:t>
            </w:r>
          </w:p>
        </w:tc>
        <w:tc>
          <w:tcPr>
            <w:tcW w:type="dxa" w:w="250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tcPr>
          <w:p>
            <w:r>
              <w:rPr>
                <w:rFonts w:ascii="Arial" w:cs="Arial" w:eastAsia="Arial" w:hAnsi="Arial"/>
                <w:sz w:val="20"/>
                <w:szCs w:val="20"/>
              </w:rPr>
              <w:t xml:space="preserve">150</w:t>
            </w:r>
          </w:p>
        </w:tc>
        <w:tc>
          <w:tcPr>
            <w:tcW w:type="dxa" w:w="330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tcPr>
          <w:p>
            <w:r>
              <w:rPr>
                <w:rFonts w:ascii="Arial" w:cs="Arial" w:eastAsia="Arial" w:hAnsi="Arial"/>
                <w:sz w:val="20"/>
                <w:szCs w:val="20"/>
              </w:rPr>
              <w:t xml:space="preserve">5 €/día; ajustable según resultados</w:t>
            </w:r>
          </w:p>
        </w:tc>
      </w:tr>
      <w:tr>
        <w:tc>
          <w:tcPr>
            <w:tcW w:type="dxa" w:w="4000"/>
            <w:tcBorders>
              <w:top w:val="single" w:color="AAAAAA" w:sz="1"/>
              <w:left w:val="single" w:color="AAAAAA" w:sz="1"/>
              <w:bottom w:val="single" w:color="AAAAAA" w:sz="1"/>
              <w:right w:val="single" w:color="AAAAAA" w:sz="1"/>
            </w:tcBorders>
            <w:shd w:fill="F0F4FA" w:val="clear"/>
            <w:tcMar>
              <w:top w:type="dxa" w:w="80"/>
              <w:left w:type="dxa" w:w="120"/>
              <w:bottom w:type="dxa" w:w="80"/>
              <w:right w:type="dxa" w:w="120"/>
            </w:tcMar>
          </w:tcPr>
          <w:p>
            <w:r>
              <w:rPr>
                <w:rFonts w:ascii="Arial" w:cs="Arial" w:eastAsia="Arial" w:hAnsi="Arial"/>
                <w:sz w:val="20"/>
                <w:szCs w:val="20"/>
              </w:rPr>
              <w:t xml:space="preserve">Herramientas SEO (Ubersuggest free / Ahrefs Webmaster free)</w:t>
            </w:r>
          </w:p>
        </w:tc>
        <w:tc>
          <w:tcPr>
            <w:tcW w:type="dxa" w:w="2500"/>
            <w:tcBorders>
              <w:top w:val="single" w:color="AAAAAA" w:sz="1"/>
              <w:left w:val="single" w:color="AAAAAA" w:sz="1"/>
              <w:bottom w:val="single" w:color="AAAAAA" w:sz="1"/>
              <w:right w:val="single" w:color="AAAAAA" w:sz="1"/>
            </w:tcBorders>
            <w:shd w:fill="F0F4FA" w:val="clear"/>
            <w:tcMar>
              <w:top w:type="dxa" w:w="80"/>
              <w:left w:type="dxa" w:w="120"/>
              <w:bottom w:type="dxa" w:w="80"/>
              <w:right w:type="dxa" w:w="120"/>
            </w:tcMar>
          </w:tcPr>
          <w:p>
            <w:r>
              <w:rPr>
                <w:rFonts w:ascii="Arial" w:cs="Arial" w:eastAsia="Arial" w:hAnsi="Arial"/>
                <w:sz w:val="20"/>
                <w:szCs w:val="20"/>
              </w:rPr>
              <w:t xml:space="preserve">0</w:t>
            </w:r>
          </w:p>
        </w:tc>
        <w:tc>
          <w:tcPr>
            <w:tcW w:type="dxa" w:w="3300"/>
            <w:tcBorders>
              <w:top w:val="single" w:color="AAAAAA" w:sz="1"/>
              <w:left w:val="single" w:color="AAAAAA" w:sz="1"/>
              <w:bottom w:val="single" w:color="AAAAAA" w:sz="1"/>
              <w:right w:val="single" w:color="AAAAAA" w:sz="1"/>
            </w:tcBorders>
            <w:shd w:fill="F0F4FA" w:val="clear"/>
            <w:tcMar>
              <w:top w:type="dxa" w:w="80"/>
              <w:left w:type="dxa" w:w="120"/>
              <w:bottom w:type="dxa" w:w="80"/>
              <w:right w:type="dxa" w:w="120"/>
            </w:tcMar>
          </w:tcPr>
          <w:p>
            <w:r>
              <w:rPr>
                <w:rFonts w:ascii="Arial" w:cs="Arial" w:eastAsia="Arial" w:hAnsi="Arial"/>
                <w:sz w:val="20"/>
                <w:szCs w:val="20"/>
              </w:rPr>
              <w:t xml:space="preserve">Versiones gratuitas suficientes para el arranque</w:t>
            </w:r>
          </w:p>
        </w:tc>
      </w:tr>
      <w:tr>
        <w:tc>
          <w:tcPr>
            <w:tcW w:type="dxa" w:w="400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tcPr>
          <w:p>
            <w:r>
              <w:rPr>
                <w:rFonts w:ascii="Arial" w:cs="Arial" w:eastAsia="Arial" w:hAnsi="Arial"/>
                <w:sz w:val="20"/>
                <w:szCs w:val="20"/>
              </w:rPr>
              <w:t xml:space="preserve">Reserva para contenido adicional o revisión legal de la web</w:t>
            </w:r>
          </w:p>
        </w:tc>
        <w:tc>
          <w:tcPr>
            <w:tcW w:type="dxa" w:w="250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tcPr>
          <w:p>
            <w:r>
              <w:rPr>
                <w:rFonts w:ascii="Arial" w:cs="Arial" w:eastAsia="Arial" w:hAnsi="Arial"/>
                <w:sz w:val="20"/>
                <w:szCs w:val="20"/>
              </w:rPr>
              <w:t xml:space="preserve">200</w:t>
            </w:r>
          </w:p>
        </w:tc>
        <w:tc>
          <w:tcPr>
            <w:tcW w:type="dxa" w:w="330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tcPr>
          <w:p>
            <w:r>
              <w:rPr>
                <w:rFonts w:ascii="Arial" w:cs="Arial" w:eastAsia="Arial" w:hAnsi="Arial"/>
                <w:sz w:val="20"/>
                <w:szCs w:val="20"/>
              </w:rPr>
              <w:t xml:space="preserve">Revisión del aviso legal / política de privacidad por colega o gestor</w:t>
            </w:r>
          </w:p>
        </w:tc>
      </w:tr>
      <w:tr>
        <w:tc>
          <w:tcPr>
            <w:tcW w:type="dxa" w:w="4000"/>
            <w:tcBorders>
              <w:top w:val="single" w:color="AAAAAA" w:sz="1"/>
              <w:left w:val="single" w:color="AAAAAA" w:sz="1"/>
              <w:bottom w:val="single" w:color="AAAAAA" w:sz="1"/>
              <w:right w:val="single" w:color="AAAAAA" w:sz="1"/>
            </w:tcBorders>
            <w:shd w:fill="F0F4FA" w:val="clear"/>
            <w:tcMar>
              <w:top w:type="dxa" w:w="80"/>
              <w:left w:type="dxa" w:w="120"/>
              <w:bottom w:type="dxa" w:w="80"/>
              <w:right w:type="dxa" w:w="120"/>
            </w:tcMar>
          </w:tcPr>
          <w:p>
            <w:r>
              <w:rPr>
                <w:rFonts w:ascii="Arial" w:cs="Arial" w:eastAsia="Arial" w:hAnsi="Arial"/>
                <w:sz w:val="20"/>
                <w:szCs w:val="20"/>
              </w:rPr>
              <w:t xml:space="preserve">TOTAL</w:t>
            </w:r>
          </w:p>
        </w:tc>
        <w:tc>
          <w:tcPr>
            <w:tcW w:type="dxa" w:w="2500"/>
            <w:tcBorders>
              <w:top w:val="single" w:color="AAAAAA" w:sz="1"/>
              <w:left w:val="single" w:color="AAAAAA" w:sz="1"/>
              <w:bottom w:val="single" w:color="AAAAAA" w:sz="1"/>
              <w:right w:val="single" w:color="AAAAAA" w:sz="1"/>
            </w:tcBorders>
            <w:shd w:fill="F0F4FA" w:val="clear"/>
            <w:tcMar>
              <w:top w:type="dxa" w:w="80"/>
              <w:left w:type="dxa" w:w="120"/>
              <w:bottom w:type="dxa" w:w="80"/>
              <w:right w:type="dxa" w:w="120"/>
            </w:tcMar>
          </w:tcPr>
          <w:p>
            <w:r>
              <w:rPr>
                <w:rFonts w:ascii="Arial" w:cs="Arial" w:eastAsia="Arial" w:hAnsi="Arial"/>
                <w:sz w:val="20"/>
                <w:szCs w:val="20"/>
              </w:rPr>
              <w:t xml:space="preserve">815</w:t>
            </w:r>
          </w:p>
        </w:tc>
        <w:tc>
          <w:tcPr>
            <w:tcW w:type="dxa" w:w="3300"/>
            <w:tcBorders>
              <w:top w:val="single" w:color="AAAAAA" w:sz="1"/>
              <w:left w:val="single" w:color="AAAAAA" w:sz="1"/>
              <w:bottom w:val="single" w:color="AAAAAA" w:sz="1"/>
              <w:right w:val="single" w:color="AAAAAA" w:sz="1"/>
            </w:tcBorders>
            <w:shd w:fill="F0F4FA" w:val="clear"/>
            <w:tcMar>
              <w:top w:type="dxa" w:w="80"/>
              <w:left w:type="dxa" w:w="120"/>
              <w:bottom w:type="dxa" w:w="80"/>
              <w:right w:type="dxa" w:w="120"/>
            </w:tcMar>
          </w:tcPr>
          <w:p>
            <w:r>
              <w:rPr>
                <w:rFonts w:ascii="Arial" w:cs="Arial" w:eastAsia="Arial" w:hAnsi="Arial"/>
                <w:sz w:val="20"/>
                <w:szCs w:val="20"/>
              </w:rPr>
              <w:t xml:space="preserve">Muy por debajo del límite de 3.000 €; margen para escalar Ads en T2</w:t>
            </w:r>
          </w:p>
        </w:tc>
      </w:tr>
    </w:tbl>
    <w:p>
      <w:r>
        <w:br w:type="page"/>
      </w:r>
    </w:p>
    <w:p>
      <w:pPr>
        <w:pStyle w:val="Heading1"/>
        <w:spacing w:after="180" w:before="360"/>
      </w:pPr>
      <w:r>
        <w:rPr>
          <w:rFonts w:ascii="Arial" w:cs="Arial" w:eastAsia="Arial" w:hAnsi="Arial"/>
          <w:b/>
          <w:bCs/>
          <w:color w:val="1F4E79"/>
          <w:sz w:val="36"/>
          <w:szCs w:val="36"/>
        </w:rPr>
        <w:t xml:space="preserve">3. Plan de contenidos / Estrategia de autoridad</w:t>
      </w:r>
    </w:p>
    <w:p>
      <w:pPr>
        <w:pStyle w:val="Heading2"/>
        <w:spacing w:after="120" w:before="280"/>
      </w:pPr>
      <w:r>
        <w:rPr>
          <w:rFonts w:ascii="Arial" w:cs="Arial" w:eastAsia="Arial" w:hAnsi="Arial"/>
          <w:b/>
          <w:bCs/>
          <w:color w:val="2E75B6"/>
          <w:sz w:val="28"/>
          <w:szCs w:val="28"/>
        </w:rPr>
        <w:t xml:space="preserve">3.1 Calendario editorial — 12 semanas</w:t>
      </w:r>
    </w:p>
    <w:p>
      <w:pPr>
        <w:spacing w:after="120"/>
        <w:jc w:val="both"/>
      </w:pPr>
      <w:r>
        <w:rPr>
          <w:rFonts w:ascii="Arial" w:cs="Arial" w:eastAsia="Arial" w:hAnsi="Arial"/>
          <w:b w:val="false"/>
          <w:bCs w:val="false"/>
          <w:color w:val="000000"/>
          <w:sz w:val="22"/>
          <w:szCs w:val="22"/>
        </w:rPr>
        <w:t xml:space="preserve">Regla: 1 pieza larga por semana (blog + publicado en LinkedIn como artículo) + 3 piezas cortas en LinkedIn (lunes, miércoles, viernes). Total: 12 piezas largas + 36 cortas.</w:t>
      </w:r>
    </w:p>
    <w:p>
      <w:pPr>
        <w:spacing w:after="120"/>
      </w:pPr>
      <w:r>
        <w:t xml:space="preserve"/>
      </w:r>
    </w:p>
    <w:tbl>
      <w:tblPr>
        <w:tblW w:type="dxa" w:w="9800"/>
        <w:tblBorders>
          <w:top w:val="single" w:color="auto" w:sz="4"/>
          <w:left w:val="single" w:color="auto" w:sz="4"/>
          <w:bottom w:val="single" w:color="auto" w:sz="4"/>
          <w:right w:val="single" w:color="auto" w:sz="4"/>
          <w:insideH w:val="single" w:color="auto" w:sz="4"/>
          <w:insideV w:val="single" w:color="auto" w:sz="4"/>
        </w:tblBorders>
      </w:tblPr>
      <w:tblGrid>
        <w:gridCol w:w="600"/>
        <w:gridCol w:w="4100"/>
        <w:gridCol w:w="5100"/>
      </w:tblGrid>
      <w:tr>
        <w:trPr>
          <w:tblHeader/>
        </w:trPr>
        <w:tc>
          <w:tcPr>
            <w:tcW w:type="dxa" w:w="600"/>
            <w:tcBorders>
              <w:top w:val="single" w:color="AAAAAA" w:sz="1"/>
              <w:left w:val="single" w:color="AAAAAA" w:sz="1"/>
              <w:bottom w:val="single" w:color="AAAAAA" w:sz="1"/>
              <w:right w:val="single" w:color="AAAAAA" w:sz="1"/>
            </w:tcBorders>
            <w:shd w:fill="1F4E79" w:val="clear"/>
            <w:tcMar>
              <w:top w:type="dxa" w:w="80"/>
              <w:left w:type="dxa" w:w="120"/>
              <w:bottom w:type="dxa" w:w="80"/>
              <w:right w:type="dxa" w:w="120"/>
            </w:tcMar>
            <w:vAlign w:val="center"/>
          </w:tcPr>
          <w:p>
            <w:pPr>
              <w:jc w:val="center"/>
            </w:pPr>
            <w:r>
              <w:rPr>
                <w:rFonts w:ascii="Arial" w:cs="Arial" w:eastAsia="Arial" w:hAnsi="Arial"/>
                <w:b/>
                <w:bCs/>
                <w:color w:val="FFFFFF"/>
                <w:sz w:val="20"/>
                <w:szCs w:val="20"/>
              </w:rPr>
              <w:t xml:space="preserve">Semana</w:t>
            </w:r>
          </w:p>
        </w:tc>
        <w:tc>
          <w:tcPr>
            <w:tcW w:type="dxa" w:w="4100"/>
            <w:tcBorders>
              <w:top w:val="single" w:color="AAAAAA" w:sz="1"/>
              <w:left w:val="single" w:color="AAAAAA" w:sz="1"/>
              <w:bottom w:val="single" w:color="AAAAAA" w:sz="1"/>
              <w:right w:val="single" w:color="AAAAAA" w:sz="1"/>
            </w:tcBorders>
            <w:shd w:fill="1F4E79" w:val="clear"/>
            <w:tcMar>
              <w:top w:type="dxa" w:w="80"/>
              <w:left w:type="dxa" w:w="120"/>
              <w:bottom w:type="dxa" w:w="80"/>
              <w:right w:type="dxa" w:w="120"/>
            </w:tcMar>
            <w:vAlign w:val="center"/>
          </w:tcPr>
          <w:p>
            <w:pPr>
              <w:jc w:val="center"/>
            </w:pPr>
            <w:r>
              <w:rPr>
                <w:rFonts w:ascii="Arial" w:cs="Arial" w:eastAsia="Arial" w:hAnsi="Arial"/>
                <w:b/>
                <w:bCs/>
                <w:color w:val="FFFFFF"/>
                <w:sz w:val="20"/>
                <w:szCs w:val="20"/>
              </w:rPr>
              <w:t xml:space="preserve">Pieza larga (blog + LinkedIn artículo)</w:t>
            </w:r>
          </w:p>
        </w:tc>
        <w:tc>
          <w:tcPr>
            <w:tcW w:type="dxa" w:w="5100"/>
            <w:tcBorders>
              <w:top w:val="single" w:color="AAAAAA" w:sz="1"/>
              <w:left w:val="single" w:color="AAAAAA" w:sz="1"/>
              <w:bottom w:val="single" w:color="AAAAAA" w:sz="1"/>
              <w:right w:val="single" w:color="AAAAAA" w:sz="1"/>
            </w:tcBorders>
            <w:shd w:fill="1F4E79" w:val="clear"/>
            <w:tcMar>
              <w:top w:type="dxa" w:w="80"/>
              <w:left w:type="dxa" w:w="120"/>
              <w:bottom w:type="dxa" w:w="80"/>
              <w:right w:type="dxa" w:w="120"/>
            </w:tcMar>
            <w:vAlign w:val="center"/>
          </w:tcPr>
          <w:p>
            <w:pPr>
              <w:jc w:val="center"/>
            </w:pPr>
            <w:r>
              <w:rPr>
                <w:rFonts w:ascii="Arial" w:cs="Arial" w:eastAsia="Arial" w:hAnsi="Arial"/>
                <w:b/>
                <w:bCs/>
                <w:color w:val="FFFFFF"/>
                <w:sz w:val="20"/>
                <w:szCs w:val="20"/>
              </w:rPr>
              <w:t xml:space="preserve">Piezas cortas LinkedIn (3/semana)</w:t>
            </w:r>
          </w:p>
        </w:tc>
      </w:tr>
      <w:tr>
        <w:tc>
          <w:tcPr>
            <w:tcW w:type="dxa" w:w="60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tcPr>
          <w:p>
            <w:r>
              <w:rPr>
                <w:rFonts w:ascii="Arial" w:cs="Arial" w:eastAsia="Arial" w:hAnsi="Arial"/>
                <w:sz w:val="20"/>
                <w:szCs w:val="20"/>
              </w:rPr>
              <w:t xml:space="preserve">1</w:t>
            </w:r>
          </w:p>
        </w:tc>
        <w:tc>
          <w:tcPr>
            <w:tcW w:type="dxa" w:w="410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tcPr>
          <w:p>
            <w:r>
              <w:rPr>
                <w:rFonts w:ascii="Arial" w:cs="Arial" w:eastAsia="Arial" w:hAnsi="Arial"/>
                <w:sz w:val="20"/>
                <w:szCs w:val="20"/>
              </w:rPr>
              <w:t xml:space="preserve">¿Puede un padre impedir la Primera Comunión si hay patria potestad conjunta?</w:t>
            </w:r>
          </w:p>
        </w:tc>
        <w:tc>
          <w:tcPr>
            <w:tcW w:type="dxa" w:w="510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tcPr>
          <w:p>
            <w:r>
              <w:rPr>
                <w:rFonts w:ascii="Arial" w:cs="Arial" w:eastAsia="Arial" w:hAnsi="Arial"/>
                <w:sz w:val="20"/>
                <w:szCs w:val="20"/>
              </w:rPr>
              <w:t xml:space="preserve">Post texto: qué dice la STS 465/2015 en 5 líneas · Carrusel: '5 errores que cometen los padres ante un burofax sobre la religión de su hijo' · Checklist descargable: '¿Es tu caso urgente? 7 señales'</w:t>
            </w:r>
          </w:p>
        </w:tc>
      </w:tr>
      <w:tr>
        <w:tc>
          <w:tcPr>
            <w:tcW w:type="dxa" w:w="600"/>
            <w:tcBorders>
              <w:top w:val="single" w:color="AAAAAA" w:sz="1"/>
              <w:left w:val="single" w:color="AAAAAA" w:sz="1"/>
              <w:bottom w:val="single" w:color="AAAAAA" w:sz="1"/>
              <w:right w:val="single" w:color="AAAAAA" w:sz="1"/>
            </w:tcBorders>
            <w:shd w:fill="F0F4FA" w:val="clear"/>
            <w:tcMar>
              <w:top w:type="dxa" w:w="80"/>
              <w:left w:type="dxa" w:w="120"/>
              <w:bottom w:type="dxa" w:w="80"/>
              <w:right w:type="dxa" w:w="120"/>
            </w:tcMar>
          </w:tcPr>
          <w:p>
            <w:r>
              <w:rPr>
                <w:rFonts w:ascii="Arial" w:cs="Arial" w:eastAsia="Arial" w:hAnsi="Arial"/>
                <w:sz w:val="20"/>
                <w:szCs w:val="20"/>
              </w:rPr>
              <w:t xml:space="preserve">2</w:t>
            </w:r>
          </w:p>
        </w:tc>
        <w:tc>
          <w:tcPr>
            <w:tcW w:type="dxa" w:w="4100"/>
            <w:tcBorders>
              <w:top w:val="single" w:color="AAAAAA" w:sz="1"/>
              <w:left w:val="single" w:color="AAAAAA" w:sz="1"/>
              <w:bottom w:val="single" w:color="AAAAAA" w:sz="1"/>
              <w:right w:val="single" w:color="AAAAAA" w:sz="1"/>
            </w:tcBorders>
            <w:shd w:fill="F0F4FA" w:val="clear"/>
            <w:tcMar>
              <w:top w:type="dxa" w:w="80"/>
              <w:left w:type="dxa" w:w="120"/>
              <w:bottom w:type="dxa" w:w="80"/>
              <w:right w:type="dxa" w:w="120"/>
            </w:tcMar>
          </w:tcPr>
          <w:p>
            <w:r>
              <w:rPr>
                <w:rFonts w:ascii="Arial" w:cs="Arial" w:eastAsia="Arial" w:hAnsi="Arial"/>
                <w:sz w:val="20"/>
                <w:szCs w:val="20"/>
              </w:rPr>
              <w:t xml:space="preserve">Artículo 156 del Código Civil explicado para padres separados: qué cubre y qué no</w:t>
            </w:r>
          </w:p>
        </w:tc>
        <w:tc>
          <w:tcPr>
            <w:tcW w:type="dxa" w:w="5100"/>
            <w:tcBorders>
              <w:top w:val="single" w:color="AAAAAA" w:sz="1"/>
              <w:left w:val="single" w:color="AAAAAA" w:sz="1"/>
              <w:bottom w:val="single" w:color="AAAAAA" w:sz="1"/>
              <w:right w:val="single" w:color="AAAAAA" w:sz="1"/>
            </w:tcBorders>
            <w:shd w:fill="F0F4FA" w:val="clear"/>
            <w:tcMar>
              <w:top w:type="dxa" w:w="80"/>
              <w:left w:type="dxa" w:w="120"/>
              <w:bottom w:type="dxa" w:w="80"/>
              <w:right w:type="dxa" w:w="120"/>
            </w:tcMar>
          </w:tcPr>
          <w:p>
            <w:r>
              <w:rPr>
                <w:rFonts w:ascii="Arial" w:cs="Arial" w:eastAsia="Arial" w:hAnsi="Arial"/>
                <w:sz w:val="20"/>
                <w:szCs w:val="20"/>
              </w:rPr>
              <w:t xml:space="preserve">Post texto: diferencia entre acto ordinario y decisión de patria potestad · Cita jurisprudencial: STS 277/2016 comentada · Carrusel: '¿Quién decide la religión de tu hijo?'</w:t>
            </w:r>
          </w:p>
        </w:tc>
      </w:tr>
      <w:tr>
        <w:tc>
          <w:tcPr>
            <w:tcW w:type="dxa" w:w="60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tcPr>
          <w:p>
            <w:r>
              <w:rPr>
                <w:rFonts w:ascii="Arial" w:cs="Arial" w:eastAsia="Arial" w:hAnsi="Arial"/>
                <w:sz w:val="20"/>
                <w:szCs w:val="20"/>
              </w:rPr>
              <w:t xml:space="preserve">3</w:t>
            </w:r>
          </w:p>
        </w:tc>
        <w:tc>
          <w:tcPr>
            <w:tcW w:type="dxa" w:w="410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tcPr>
          <w:p>
            <w:r>
              <w:rPr>
                <w:rFonts w:ascii="Arial" w:cs="Arial" w:eastAsia="Arial" w:hAnsi="Arial"/>
                <w:sz w:val="20"/>
                <w:szCs w:val="20"/>
              </w:rPr>
              <w:t xml:space="preserve">Qué es la jurisdicción voluntaria y cuándo es la opción correcta en conflictos de patria potestad</w:t>
            </w:r>
          </w:p>
        </w:tc>
        <w:tc>
          <w:tcPr>
            <w:tcW w:type="dxa" w:w="510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tcPr>
          <w:p>
            <w:r>
              <w:rPr>
                <w:rFonts w:ascii="Arial" w:cs="Arial" w:eastAsia="Arial" w:hAnsi="Arial"/>
                <w:sz w:val="20"/>
                <w:szCs w:val="20"/>
              </w:rPr>
              <w:t xml:space="preserve">Caso arquetípico anonimizado: la madre que inscribió al menor en catequesis sin avisar al padre · Post texto: plazos en el expediente del art. 156 CC · Checklist: 'Lo que debes documentar antes de llamar a tu abogado'</w:t>
            </w:r>
          </w:p>
        </w:tc>
      </w:tr>
      <w:tr>
        <w:tc>
          <w:tcPr>
            <w:tcW w:type="dxa" w:w="600"/>
            <w:tcBorders>
              <w:top w:val="single" w:color="AAAAAA" w:sz="1"/>
              <w:left w:val="single" w:color="AAAAAA" w:sz="1"/>
              <w:bottom w:val="single" w:color="AAAAAA" w:sz="1"/>
              <w:right w:val="single" w:color="AAAAAA" w:sz="1"/>
            </w:tcBorders>
            <w:shd w:fill="F0F4FA" w:val="clear"/>
            <w:tcMar>
              <w:top w:type="dxa" w:w="80"/>
              <w:left w:type="dxa" w:w="120"/>
              <w:bottom w:type="dxa" w:w="80"/>
              <w:right w:type="dxa" w:w="120"/>
            </w:tcMar>
          </w:tcPr>
          <w:p>
            <w:r>
              <w:rPr>
                <w:rFonts w:ascii="Arial" w:cs="Arial" w:eastAsia="Arial" w:hAnsi="Arial"/>
                <w:sz w:val="20"/>
                <w:szCs w:val="20"/>
              </w:rPr>
              <w:t xml:space="preserve">4</w:t>
            </w:r>
          </w:p>
        </w:tc>
        <w:tc>
          <w:tcPr>
            <w:tcW w:type="dxa" w:w="4100"/>
            <w:tcBorders>
              <w:top w:val="single" w:color="AAAAAA" w:sz="1"/>
              <w:left w:val="single" w:color="AAAAAA" w:sz="1"/>
              <w:bottom w:val="single" w:color="AAAAAA" w:sz="1"/>
              <w:right w:val="single" w:color="AAAAAA" w:sz="1"/>
            </w:tcBorders>
            <w:shd w:fill="F0F4FA" w:val="clear"/>
            <w:tcMar>
              <w:top w:type="dxa" w:w="80"/>
              <w:left w:type="dxa" w:w="120"/>
              <w:bottom w:type="dxa" w:w="80"/>
              <w:right w:type="dxa" w:w="120"/>
            </w:tcMar>
          </w:tcPr>
          <w:p>
            <w:r>
              <w:rPr>
                <w:rFonts w:ascii="Arial" w:cs="Arial" w:eastAsia="Arial" w:hAnsi="Arial"/>
                <w:sz w:val="20"/>
                <w:szCs w:val="20"/>
              </w:rPr>
              <w:t xml:space="preserve">Burofax entre letrados en materia de patria potestad: qué significa recibirlo y qué debes hacer en 10 días</w:t>
            </w:r>
          </w:p>
        </w:tc>
        <w:tc>
          <w:tcPr>
            <w:tcW w:type="dxa" w:w="5100"/>
            <w:tcBorders>
              <w:top w:val="single" w:color="AAAAAA" w:sz="1"/>
              <w:left w:val="single" w:color="AAAAAA" w:sz="1"/>
              <w:bottom w:val="single" w:color="AAAAAA" w:sz="1"/>
              <w:right w:val="single" w:color="AAAAAA" w:sz="1"/>
            </w:tcBorders>
            <w:shd w:fill="F0F4FA" w:val="clear"/>
            <w:tcMar>
              <w:top w:type="dxa" w:w="80"/>
              <w:left w:type="dxa" w:w="120"/>
              <w:bottom w:type="dxa" w:w="80"/>
              <w:right w:type="dxa" w:w="120"/>
            </w:tcMar>
          </w:tcPr>
          <w:p>
            <w:r>
              <w:rPr>
                <w:rFonts w:ascii="Arial" w:cs="Arial" w:eastAsia="Arial" w:hAnsi="Arial"/>
                <w:sz w:val="20"/>
                <w:szCs w:val="20"/>
              </w:rPr>
              <w:t xml:space="preserve">Post texto: el burofax no es una demanda pero sí una advertencia · Carrusel: 'Anatomy del burofax jurídico sobre formación religiosa' · Cita: art. 156 CC texto completo comentado</w:t>
            </w:r>
          </w:p>
        </w:tc>
      </w:tr>
      <w:tr>
        <w:tc>
          <w:tcPr>
            <w:tcW w:type="dxa" w:w="60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tcPr>
          <w:p>
            <w:r>
              <w:rPr>
                <w:rFonts w:ascii="Arial" w:cs="Arial" w:eastAsia="Arial" w:hAnsi="Arial"/>
                <w:sz w:val="20"/>
                <w:szCs w:val="20"/>
              </w:rPr>
              <w:t xml:space="preserve">5</w:t>
            </w:r>
          </w:p>
        </w:tc>
        <w:tc>
          <w:tcPr>
            <w:tcW w:type="dxa" w:w="410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tcPr>
          <w:p>
            <w:r>
              <w:rPr>
                <w:rFonts w:ascii="Arial" w:cs="Arial" w:eastAsia="Arial" w:hAnsi="Arial"/>
                <w:sz w:val="20"/>
                <w:szCs w:val="20"/>
              </w:rPr>
              <w:t xml:space="preserve">El derecho del menor a ser oído: cómo y cuándo el juez escucha a tu hijo en estos casos</w:t>
            </w:r>
          </w:p>
        </w:tc>
        <w:tc>
          <w:tcPr>
            <w:tcW w:type="dxa" w:w="510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tcPr>
          <w:p>
            <w:r>
              <w:rPr>
                <w:rFonts w:ascii="Arial" w:cs="Arial" w:eastAsia="Arial" w:hAnsi="Arial"/>
                <w:sz w:val="20"/>
                <w:szCs w:val="20"/>
              </w:rPr>
              <w:t xml:space="preserve">Post texto: diferencia entre 'el menor quiere' y 'el menor puede decidir' · Caso arquetípico: menor de 9 años que expresa su deseo · Post: madurez del menor según jurisprudencia</w:t>
            </w:r>
          </w:p>
        </w:tc>
      </w:tr>
      <w:tr>
        <w:tc>
          <w:tcPr>
            <w:tcW w:type="dxa" w:w="600"/>
            <w:tcBorders>
              <w:top w:val="single" w:color="AAAAAA" w:sz="1"/>
              <w:left w:val="single" w:color="AAAAAA" w:sz="1"/>
              <w:bottom w:val="single" w:color="AAAAAA" w:sz="1"/>
              <w:right w:val="single" w:color="AAAAAA" w:sz="1"/>
            </w:tcBorders>
            <w:shd w:fill="F0F4FA" w:val="clear"/>
            <w:tcMar>
              <w:top w:type="dxa" w:w="80"/>
              <w:left w:type="dxa" w:w="120"/>
              <w:bottom w:type="dxa" w:w="80"/>
              <w:right w:type="dxa" w:w="120"/>
            </w:tcMar>
          </w:tcPr>
          <w:p>
            <w:r>
              <w:rPr>
                <w:rFonts w:ascii="Arial" w:cs="Arial" w:eastAsia="Arial" w:hAnsi="Arial"/>
                <w:sz w:val="20"/>
                <w:szCs w:val="20"/>
              </w:rPr>
              <w:t xml:space="preserve">6</w:t>
            </w:r>
          </w:p>
        </w:tc>
        <w:tc>
          <w:tcPr>
            <w:tcW w:type="dxa" w:w="4100"/>
            <w:tcBorders>
              <w:top w:val="single" w:color="AAAAAA" w:sz="1"/>
              <w:left w:val="single" w:color="AAAAAA" w:sz="1"/>
              <w:bottom w:val="single" w:color="AAAAAA" w:sz="1"/>
              <w:right w:val="single" w:color="AAAAAA" w:sz="1"/>
            </w:tcBorders>
            <w:shd w:fill="F0F4FA" w:val="clear"/>
            <w:tcMar>
              <w:top w:type="dxa" w:w="80"/>
              <w:left w:type="dxa" w:w="120"/>
              <w:bottom w:type="dxa" w:w="80"/>
              <w:right w:type="dxa" w:w="120"/>
            </w:tcMar>
          </w:tcPr>
          <w:p>
            <w:r>
              <w:rPr>
                <w:rFonts w:ascii="Arial" w:cs="Arial" w:eastAsia="Arial" w:hAnsi="Arial"/>
                <w:sz w:val="20"/>
                <w:szCs w:val="20"/>
              </w:rPr>
              <w:t xml:space="preserve">Mediación familiar en conflictos religiosos: ventajas, límites y cómo proponerla al otro progenitor</w:t>
            </w:r>
          </w:p>
        </w:tc>
        <w:tc>
          <w:tcPr>
            <w:tcW w:type="dxa" w:w="5100"/>
            <w:tcBorders>
              <w:top w:val="single" w:color="AAAAAA" w:sz="1"/>
              <w:left w:val="single" w:color="AAAAAA" w:sz="1"/>
              <w:bottom w:val="single" w:color="AAAAAA" w:sz="1"/>
              <w:right w:val="single" w:color="AAAAAA" w:sz="1"/>
            </w:tcBorders>
            <w:shd w:fill="F0F4FA" w:val="clear"/>
            <w:tcMar>
              <w:top w:type="dxa" w:w="80"/>
              <w:left w:type="dxa" w:w="120"/>
              <w:bottom w:type="dxa" w:w="80"/>
              <w:right w:type="dxa" w:w="120"/>
            </w:tcMar>
          </w:tcPr>
          <w:p>
            <w:r>
              <w:rPr>
                <w:rFonts w:ascii="Arial" w:cs="Arial" w:eastAsia="Arial" w:hAnsi="Arial"/>
                <w:sz w:val="20"/>
                <w:szCs w:val="20"/>
              </w:rPr>
              <w:t xml:space="preserve">Carrusel: '4 razones para intentar la mediación antes del juzgado' · Post texto: Ley 5/2012 explicada en 3 párrafos · Cita STC 5/2023 comentada</w:t>
            </w:r>
          </w:p>
        </w:tc>
      </w:tr>
      <w:tr>
        <w:tc>
          <w:tcPr>
            <w:tcW w:type="dxa" w:w="60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tcPr>
          <w:p>
            <w:r>
              <w:rPr>
                <w:rFonts w:ascii="Arial" w:cs="Arial" w:eastAsia="Arial" w:hAnsi="Arial"/>
                <w:sz w:val="20"/>
                <w:szCs w:val="20"/>
              </w:rPr>
              <w:t xml:space="preserve">7</w:t>
            </w:r>
          </w:p>
        </w:tc>
        <w:tc>
          <w:tcPr>
            <w:tcW w:type="dxa" w:w="410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tcPr>
          <w:p>
            <w:r>
              <w:rPr>
                <w:rFonts w:ascii="Arial" w:cs="Arial" w:eastAsia="Arial" w:hAnsi="Arial"/>
                <w:sz w:val="20"/>
                <w:szCs w:val="20"/>
              </w:rPr>
              <w:t xml:space="preserve">Cuando el otro progenitor bautiza a tu hijo sin tu consentimiento: consecuencias legales y qué puedes pedir</w:t>
            </w:r>
          </w:p>
        </w:tc>
        <w:tc>
          <w:tcPr>
            <w:tcW w:type="dxa" w:w="510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tcPr>
          <w:p>
            <w:r>
              <w:rPr>
                <w:rFonts w:ascii="Arial" w:cs="Arial" w:eastAsia="Arial" w:hAnsi="Arial"/>
                <w:sz w:val="20"/>
                <w:szCs w:val="20"/>
              </w:rPr>
              <w:t xml:space="preserve">Post texto: irreversibilidad del sacramento y sus efectos procesales · Caso arquetípico: bautismo realizado sin acuerdo · Checklist: 'Qué pruebas recoger'</w:t>
            </w:r>
          </w:p>
        </w:tc>
      </w:tr>
      <w:tr>
        <w:tc>
          <w:tcPr>
            <w:tcW w:type="dxa" w:w="600"/>
            <w:tcBorders>
              <w:top w:val="single" w:color="AAAAAA" w:sz="1"/>
              <w:left w:val="single" w:color="AAAAAA" w:sz="1"/>
              <w:bottom w:val="single" w:color="AAAAAA" w:sz="1"/>
              <w:right w:val="single" w:color="AAAAAA" w:sz="1"/>
            </w:tcBorders>
            <w:shd w:fill="F0F4FA" w:val="clear"/>
            <w:tcMar>
              <w:top w:type="dxa" w:w="80"/>
              <w:left w:type="dxa" w:w="120"/>
              <w:bottom w:type="dxa" w:w="80"/>
              <w:right w:type="dxa" w:w="120"/>
            </w:tcMar>
          </w:tcPr>
          <w:p>
            <w:r>
              <w:rPr>
                <w:rFonts w:ascii="Arial" w:cs="Arial" w:eastAsia="Arial" w:hAnsi="Arial"/>
                <w:sz w:val="20"/>
                <w:szCs w:val="20"/>
              </w:rPr>
              <w:t xml:space="preserve">8</w:t>
            </w:r>
          </w:p>
        </w:tc>
        <w:tc>
          <w:tcPr>
            <w:tcW w:type="dxa" w:w="4100"/>
            <w:tcBorders>
              <w:top w:val="single" w:color="AAAAAA" w:sz="1"/>
              <w:left w:val="single" w:color="AAAAAA" w:sz="1"/>
              <w:bottom w:val="single" w:color="AAAAAA" w:sz="1"/>
              <w:right w:val="single" w:color="AAAAAA" w:sz="1"/>
            </w:tcBorders>
            <w:shd w:fill="F0F4FA" w:val="clear"/>
            <w:tcMar>
              <w:top w:type="dxa" w:w="80"/>
              <w:left w:type="dxa" w:w="120"/>
              <w:bottom w:type="dxa" w:w="80"/>
              <w:right w:type="dxa" w:w="120"/>
            </w:tcMar>
          </w:tcPr>
          <w:p>
            <w:r>
              <w:rPr>
                <w:rFonts w:ascii="Arial" w:cs="Arial" w:eastAsia="Arial" w:hAnsi="Arial"/>
                <w:sz w:val="20"/>
                <w:szCs w:val="20"/>
              </w:rPr>
              <w:t xml:space="preserve">Patria potestad conjunta y educación religiosa en el colegio: asignatura de Religión, catequesis extraescolar y más</w:t>
            </w:r>
          </w:p>
        </w:tc>
        <w:tc>
          <w:tcPr>
            <w:tcW w:type="dxa" w:w="5100"/>
            <w:tcBorders>
              <w:top w:val="single" w:color="AAAAAA" w:sz="1"/>
              <w:left w:val="single" w:color="AAAAAA" w:sz="1"/>
              <w:bottom w:val="single" w:color="AAAAAA" w:sz="1"/>
              <w:right w:val="single" w:color="AAAAAA" w:sz="1"/>
            </w:tcBorders>
            <w:shd w:fill="F0F4FA" w:val="clear"/>
            <w:tcMar>
              <w:top w:type="dxa" w:w="80"/>
              <w:left w:type="dxa" w:w="120"/>
              <w:bottom w:type="dxa" w:w="80"/>
              <w:right w:type="dxa" w:w="120"/>
            </w:tcMar>
          </w:tcPr>
          <w:p>
            <w:r>
              <w:rPr>
                <w:rFonts w:ascii="Arial" w:cs="Arial" w:eastAsia="Arial" w:hAnsi="Arial"/>
                <w:sz w:val="20"/>
                <w:szCs w:val="20"/>
              </w:rPr>
              <w:t xml:space="preserve">Post texto: diferencia entre matrícula en asignatura y participación sacramental · Carrusel: '3 situaciones reales que llegan al juzgado' · Cita SAP Barcelona 54/2025</w:t>
            </w:r>
          </w:p>
        </w:tc>
      </w:tr>
      <w:tr>
        <w:tc>
          <w:tcPr>
            <w:tcW w:type="dxa" w:w="60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tcPr>
          <w:p>
            <w:r>
              <w:rPr>
                <w:rFonts w:ascii="Arial" w:cs="Arial" w:eastAsia="Arial" w:hAnsi="Arial"/>
                <w:sz w:val="20"/>
                <w:szCs w:val="20"/>
              </w:rPr>
              <w:t xml:space="preserve">9</w:t>
            </w:r>
          </w:p>
        </w:tc>
        <w:tc>
          <w:tcPr>
            <w:tcW w:type="dxa" w:w="410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tcPr>
          <w:p>
            <w:r>
              <w:rPr>
                <w:rFonts w:ascii="Arial" w:cs="Arial" w:eastAsia="Arial" w:hAnsi="Arial"/>
                <w:sz w:val="20"/>
                <w:szCs w:val="20"/>
              </w:rPr>
              <w:t xml:space="preserve">Confirmación, Bar Mitzvah y otros sacramentos en familias con progenitores de distintas confesiones: marco legal</w:t>
            </w:r>
          </w:p>
        </w:tc>
        <w:tc>
          <w:tcPr>
            <w:tcW w:type="dxa" w:w="510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tcPr>
          <w:p>
            <w:r>
              <w:rPr>
                <w:rFonts w:ascii="Arial" w:cs="Arial" w:eastAsia="Arial" w:hAnsi="Arial"/>
                <w:sz w:val="20"/>
                <w:szCs w:val="20"/>
              </w:rPr>
              <w:t xml:space="preserve">Post texto: el principio de neutralidad religiosa del Estado y la patria potestad · Carrusel: 'Cuando los padres tienen religiones distintas' · Post: STC 119/2025 en clave práctica</w:t>
            </w:r>
          </w:p>
        </w:tc>
      </w:tr>
      <w:tr>
        <w:tc>
          <w:tcPr>
            <w:tcW w:type="dxa" w:w="600"/>
            <w:tcBorders>
              <w:top w:val="single" w:color="AAAAAA" w:sz="1"/>
              <w:left w:val="single" w:color="AAAAAA" w:sz="1"/>
              <w:bottom w:val="single" w:color="AAAAAA" w:sz="1"/>
              <w:right w:val="single" w:color="AAAAAA" w:sz="1"/>
            </w:tcBorders>
            <w:shd w:fill="F0F4FA" w:val="clear"/>
            <w:tcMar>
              <w:top w:type="dxa" w:w="80"/>
              <w:left w:type="dxa" w:w="120"/>
              <w:bottom w:type="dxa" w:w="80"/>
              <w:right w:type="dxa" w:w="120"/>
            </w:tcMar>
          </w:tcPr>
          <w:p>
            <w:r>
              <w:rPr>
                <w:rFonts w:ascii="Arial" w:cs="Arial" w:eastAsia="Arial" w:hAnsi="Arial"/>
                <w:sz w:val="20"/>
                <w:szCs w:val="20"/>
              </w:rPr>
              <w:t xml:space="preserve">10</w:t>
            </w:r>
          </w:p>
        </w:tc>
        <w:tc>
          <w:tcPr>
            <w:tcW w:type="dxa" w:w="4100"/>
            <w:tcBorders>
              <w:top w:val="single" w:color="AAAAAA" w:sz="1"/>
              <w:left w:val="single" w:color="AAAAAA" w:sz="1"/>
              <w:bottom w:val="single" w:color="AAAAAA" w:sz="1"/>
              <w:right w:val="single" w:color="AAAAAA" w:sz="1"/>
            </w:tcBorders>
            <w:shd w:fill="F0F4FA" w:val="clear"/>
            <w:tcMar>
              <w:top w:type="dxa" w:w="80"/>
              <w:left w:type="dxa" w:w="120"/>
              <w:bottom w:type="dxa" w:w="80"/>
              <w:right w:type="dxa" w:w="120"/>
            </w:tcMar>
          </w:tcPr>
          <w:p>
            <w:r>
              <w:rPr>
                <w:rFonts w:ascii="Arial" w:cs="Arial" w:eastAsia="Arial" w:hAnsi="Arial"/>
                <w:sz w:val="20"/>
                <w:szCs w:val="20"/>
              </w:rPr>
              <w:t xml:space="preserve">Cómo redactar un acuerdo de coparentalidad que regule las decisiones religiosas del menor</w:t>
            </w:r>
          </w:p>
        </w:tc>
        <w:tc>
          <w:tcPr>
            <w:tcW w:type="dxa" w:w="5100"/>
            <w:tcBorders>
              <w:top w:val="single" w:color="AAAAAA" w:sz="1"/>
              <w:left w:val="single" w:color="AAAAAA" w:sz="1"/>
              <w:bottom w:val="single" w:color="AAAAAA" w:sz="1"/>
              <w:right w:val="single" w:color="AAAAAA" w:sz="1"/>
            </w:tcBorders>
            <w:shd w:fill="F0F4FA" w:val="clear"/>
            <w:tcMar>
              <w:top w:type="dxa" w:w="80"/>
              <w:left w:type="dxa" w:w="120"/>
              <w:bottom w:type="dxa" w:w="80"/>
              <w:right w:type="dxa" w:w="120"/>
            </w:tcMar>
          </w:tcPr>
          <w:p>
            <w:r>
              <w:rPr>
                <w:rFonts w:ascii="Arial" w:cs="Arial" w:eastAsia="Arial" w:hAnsi="Arial"/>
                <w:sz w:val="20"/>
                <w:szCs w:val="20"/>
              </w:rPr>
              <w:t xml:space="preserve">Post texto: qué cláusulas incluir en el convenio regulador · Checklist: '7 puntos sobre religión que deberías tener en tu convenio' · Caso: acuerdo que evitó el juzgado</w:t>
            </w:r>
          </w:p>
        </w:tc>
      </w:tr>
      <w:tr>
        <w:tc>
          <w:tcPr>
            <w:tcW w:type="dxa" w:w="60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tcPr>
          <w:p>
            <w:r>
              <w:rPr>
                <w:rFonts w:ascii="Arial" w:cs="Arial" w:eastAsia="Arial" w:hAnsi="Arial"/>
                <w:sz w:val="20"/>
                <w:szCs w:val="20"/>
              </w:rPr>
              <w:t xml:space="preserve">11</w:t>
            </w:r>
          </w:p>
        </w:tc>
        <w:tc>
          <w:tcPr>
            <w:tcW w:type="dxa" w:w="410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tcPr>
          <w:p>
            <w:r>
              <w:rPr>
                <w:rFonts w:ascii="Arial" w:cs="Arial" w:eastAsia="Arial" w:hAnsi="Arial"/>
                <w:sz w:val="20"/>
                <w:szCs w:val="20"/>
              </w:rPr>
              <w:t xml:space="preserve">Preguntas frecuentes sobre patria potestad y Primera Comunión: lo que pregunta Google, lo que responde un abogado</w:t>
            </w:r>
          </w:p>
        </w:tc>
        <w:tc>
          <w:tcPr>
            <w:tcW w:type="dxa" w:w="510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tcPr>
          <w:p>
            <w:r>
              <w:rPr>
                <w:rFonts w:ascii="Arial" w:cs="Arial" w:eastAsia="Arial" w:hAnsi="Arial"/>
                <w:sz w:val="20"/>
                <w:szCs w:val="20"/>
              </w:rPr>
              <w:t xml:space="preserve">Post texto: top 3 malentendidos sobre el art. 156 CC · Carrusel: FAQ visual sobre sacramentos · Cita STS 465/2015 comentada de nuevo (segundo pico de tráfico)</w:t>
            </w:r>
          </w:p>
        </w:tc>
      </w:tr>
      <w:tr>
        <w:tc>
          <w:tcPr>
            <w:tcW w:type="dxa" w:w="600"/>
            <w:tcBorders>
              <w:top w:val="single" w:color="AAAAAA" w:sz="1"/>
              <w:left w:val="single" w:color="AAAAAA" w:sz="1"/>
              <w:bottom w:val="single" w:color="AAAAAA" w:sz="1"/>
              <w:right w:val="single" w:color="AAAAAA" w:sz="1"/>
            </w:tcBorders>
            <w:shd w:fill="F0F4FA" w:val="clear"/>
            <w:tcMar>
              <w:top w:type="dxa" w:w="80"/>
              <w:left w:type="dxa" w:w="120"/>
              <w:bottom w:type="dxa" w:w="80"/>
              <w:right w:type="dxa" w:w="120"/>
            </w:tcMar>
          </w:tcPr>
          <w:p>
            <w:r>
              <w:rPr>
                <w:rFonts w:ascii="Arial" w:cs="Arial" w:eastAsia="Arial" w:hAnsi="Arial"/>
                <w:sz w:val="20"/>
                <w:szCs w:val="20"/>
              </w:rPr>
              <w:t xml:space="preserve">12</w:t>
            </w:r>
          </w:p>
        </w:tc>
        <w:tc>
          <w:tcPr>
            <w:tcW w:type="dxa" w:w="4100"/>
            <w:tcBorders>
              <w:top w:val="single" w:color="AAAAAA" w:sz="1"/>
              <w:left w:val="single" w:color="AAAAAA" w:sz="1"/>
              <w:bottom w:val="single" w:color="AAAAAA" w:sz="1"/>
              <w:right w:val="single" w:color="AAAAAA" w:sz="1"/>
            </w:tcBorders>
            <w:shd w:fill="F0F4FA" w:val="clear"/>
            <w:tcMar>
              <w:top w:type="dxa" w:w="80"/>
              <w:left w:type="dxa" w:w="120"/>
              <w:bottom w:type="dxa" w:w="80"/>
              <w:right w:type="dxa" w:w="120"/>
            </w:tcMar>
          </w:tcPr>
          <w:p>
            <w:r>
              <w:rPr>
                <w:rFonts w:ascii="Arial" w:cs="Arial" w:eastAsia="Arial" w:hAnsi="Arial"/>
                <w:sz w:val="20"/>
                <w:szCs w:val="20"/>
              </w:rPr>
              <w:t xml:space="preserve">Revisión del trimestre: qué he aprendido como abogado especializado en estos conflictos (artículo de autoridad personal)</w:t>
            </w:r>
          </w:p>
        </w:tc>
        <w:tc>
          <w:tcPr>
            <w:tcW w:type="dxa" w:w="5100"/>
            <w:tcBorders>
              <w:top w:val="single" w:color="AAAAAA" w:sz="1"/>
              <w:left w:val="single" w:color="AAAAAA" w:sz="1"/>
              <w:bottom w:val="single" w:color="AAAAAA" w:sz="1"/>
              <w:right w:val="single" w:color="AAAAAA" w:sz="1"/>
            </w:tcBorders>
            <w:shd w:fill="F0F4FA" w:val="clear"/>
            <w:tcMar>
              <w:top w:type="dxa" w:w="80"/>
              <w:left w:type="dxa" w:w="120"/>
              <w:bottom w:type="dxa" w:w="80"/>
              <w:right w:type="dxa" w:w="120"/>
            </w:tcMar>
          </w:tcPr>
          <w:p>
            <w:r>
              <w:rPr>
                <w:rFonts w:ascii="Arial" w:cs="Arial" w:eastAsia="Arial" w:hAnsi="Arial"/>
                <w:sz w:val="20"/>
                <w:szCs w:val="20"/>
              </w:rPr>
              <w:t xml:space="preserve">Post texto: reflexión sobre el interés superior del menor en conflictos religiosos · Carrusel: resumen de jurisprudencia clave · CTA final: consulta gratuita de 30 minutos</w:t>
            </w:r>
          </w:p>
        </w:tc>
      </w:tr>
    </w:tbl>
    <w:p>
      <w:pPr>
        <w:spacing w:after="120"/>
      </w:pPr>
      <w:r>
        <w:t xml:space="preserve"/>
      </w:r>
    </w:p>
    <w:p>
      <w:pPr>
        <w:pStyle w:val="Heading2"/>
        <w:spacing w:after="120" w:before="280"/>
      </w:pPr>
      <w:r>
        <w:rPr>
          <w:rFonts w:ascii="Arial" w:cs="Arial" w:eastAsia="Arial" w:hAnsi="Arial"/>
          <w:b/>
          <w:bCs/>
          <w:color w:val="2E75B6"/>
          <w:sz w:val="28"/>
          <w:szCs w:val="28"/>
        </w:rPr>
        <w:t xml:space="preserve">3.2 Veinte títulos long-tail con intención comercial</w:t>
      </w:r>
    </w:p>
    <w:p>
      <w:pPr>
        <w:spacing w:after="120"/>
        <w:jc w:val="both"/>
      </w:pPr>
      <w:r>
        <w:rPr>
          <w:rFonts w:ascii="Arial" w:cs="Arial" w:eastAsia="Arial" w:hAnsi="Arial"/>
          <w:b w:val="false"/>
          <w:bCs w:val="false"/>
          <w:color w:val="000000"/>
          <w:sz w:val="22"/>
          <w:szCs w:val="22"/>
        </w:rPr>
        <w:t xml:space="preserve">Derivados directamente del caso de origen (Estrategia_Patria_Potestad_Formacion_Religiosa.pdf, secciones I-VIII) y de la jurisprudencia citada en AMJ todas.pdf.</w:t>
      </w:r>
    </w:p>
    <w:p>
      <w:pPr>
        <w:spacing w:after="120"/>
      </w:pPr>
      <w:r>
        <w:t xml:space="preserve"/>
      </w:r>
    </w:p>
    <w:p>
      <w:pPr>
        <w:pStyle w:val="ListParagraph"/>
        <w:numPr>
          <w:ilvl w:val="0"/>
          <w:numId w:val="3"/>
        </w:numPr>
        <w:spacing w:after="80"/>
      </w:pPr>
      <w:r>
        <w:rPr>
          <w:rFonts w:ascii="Arial" w:cs="Arial" w:eastAsia="Arial" w:hAnsi="Arial"/>
          <w:sz w:val="22"/>
          <w:szCs w:val="22"/>
        </w:rPr>
        <w:t xml:space="preserve">1. ¿Puede un padre impedir la Primera Comunión si hay patria potestad conjunta?</w:t>
      </w:r>
    </w:p>
    <w:p>
      <w:pPr>
        <w:pStyle w:val="ListParagraph"/>
        <w:numPr>
          <w:ilvl w:val="0"/>
          <w:numId w:val="3"/>
        </w:numPr>
        <w:spacing w:after="80"/>
      </w:pPr>
      <w:r>
        <w:rPr>
          <w:rFonts w:ascii="Arial" w:cs="Arial" w:eastAsia="Arial" w:hAnsi="Arial"/>
          <w:sz w:val="22"/>
          <w:szCs w:val="22"/>
        </w:rPr>
        <w:t xml:space="preserve">2. Mi ex ha inscrito a mi hijo en catequesis sin avisarme: ¿qué puedo hacer?</w:t>
      </w:r>
    </w:p>
    <w:p>
      <w:pPr>
        <w:pStyle w:val="ListParagraph"/>
        <w:numPr>
          <w:ilvl w:val="0"/>
          <w:numId w:val="3"/>
        </w:numPr>
        <w:spacing w:after="80"/>
      </w:pPr>
      <w:r>
        <w:rPr>
          <w:rFonts w:ascii="Arial" w:cs="Arial" w:eastAsia="Arial" w:hAnsi="Arial"/>
          <w:sz w:val="22"/>
          <w:szCs w:val="22"/>
        </w:rPr>
        <w:t xml:space="preserve">3. Artículo 156 del Código Civil y formación religiosa del menor: guía práctica</w:t>
      </w:r>
    </w:p>
    <w:p>
      <w:pPr>
        <w:pStyle w:val="ListParagraph"/>
        <w:numPr>
          <w:ilvl w:val="0"/>
          <w:numId w:val="3"/>
        </w:numPr>
        <w:spacing w:after="80"/>
      </w:pPr>
      <w:r>
        <w:rPr>
          <w:rFonts w:ascii="Arial" w:cs="Arial" w:eastAsia="Arial" w:hAnsi="Arial"/>
          <w:sz w:val="22"/>
          <w:szCs w:val="22"/>
        </w:rPr>
        <w:t xml:space="preserve">4. He recibido un burofax sobre la Primera Comunión de mi hijo: pasos a seguir</w:t>
      </w:r>
    </w:p>
    <w:p>
      <w:pPr>
        <w:pStyle w:val="ListParagraph"/>
        <w:numPr>
          <w:ilvl w:val="0"/>
          <w:numId w:val="3"/>
        </w:numPr>
        <w:spacing w:after="80"/>
      </w:pPr>
      <w:r>
        <w:rPr>
          <w:rFonts w:ascii="Arial" w:cs="Arial" w:eastAsia="Arial" w:hAnsi="Arial"/>
          <w:sz w:val="22"/>
          <w:szCs w:val="22"/>
        </w:rPr>
        <w:t xml:space="preserve">5. ¿Necesita acuerdo de los dos padres para bautizar a un menor? Jurisprudencia</w:t>
      </w:r>
    </w:p>
    <w:p>
      <w:pPr>
        <w:pStyle w:val="ListParagraph"/>
        <w:numPr>
          <w:ilvl w:val="0"/>
          <w:numId w:val="3"/>
        </w:numPr>
        <w:spacing w:after="80"/>
      </w:pPr>
      <w:r>
        <w:rPr>
          <w:rFonts w:ascii="Arial" w:cs="Arial" w:eastAsia="Arial" w:hAnsi="Arial"/>
          <w:sz w:val="22"/>
          <w:szCs w:val="22"/>
        </w:rPr>
        <w:t xml:space="preserve">6. Jurisdicción voluntaria art. 156 CC: cuándo ir al juzgado sin abrir contencioso</w:t>
      </w:r>
    </w:p>
    <w:p>
      <w:pPr>
        <w:pStyle w:val="ListParagraph"/>
        <w:numPr>
          <w:ilvl w:val="0"/>
          <w:numId w:val="3"/>
        </w:numPr>
        <w:spacing w:after="80"/>
      </w:pPr>
      <w:r>
        <w:rPr>
          <w:rFonts w:ascii="Arial" w:cs="Arial" w:eastAsia="Arial" w:hAnsi="Arial"/>
          <w:sz w:val="22"/>
          <w:szCs w:val="22"/>
        </w:rPr>
        <w:t xml:space="preserve">7. STS 465/2015 Primera Comunión: qué dijo el Tribunal Supremo y por qué importa</w:t>
      </w:r>
    </w:p>
    <w:p>
      <w:pPr>
        <w:pStyle w:val="ListParagraph"/>
        <w:numPr>
          <w:ilvl w:val="0"/>
          <w:numId w:val="3"/>
        </w:numPr>
        <w:spacing w:after="80"/>
      </w:pPr>
      <w:r>
        <w:rPr>
          <w:rFonts w:ascii="Arial" w:cs="Arial" w:eastAsia="Arial" w:hAnsi="Arial"/>
          <w:sz w:val="22"/>
          <w:szCs w:val="22"/>
        </w:rPr>
        <w:t xml:space="preserve">8. El menor tiene 9 años y quiere hacer la comunión pero su padre se niega: ¿qué dice la ley?</w:t>
      </w:r>
    </w:p>
    <w:p>
      <w:pPr>
        <w:pStyle w:val="ListParagraph"/>
        <w:numPr>
          <w:ilvl w:val="0"/>
          <w:numId w:val="3"/>
        </w:numPr>
        <w:spacing w:after="80"/>
      </w:pPr>
      <w:r>
        <w:rPr>
          <w:rFonts w:ascii="Arial" w:cs="Arial" w:eastAsia="Arial" w:hAnsi="Arial"/>
          <w:sz w:val="22"/>
          <w:szCs w:val="22"/>
        </w:rPr>
        <w:t xml:space="preserve">9. ¿Quién decide la religión de mis hijos si estamos divorciados?</w:t>
      </w:r>
    </w:p>
    <w:p>
      <w:pPr>
        <w:pStyle w:val="ListParagraph"/>
        <w:numPr>
          <w:ilvl w:val="0"/>
          <w:numId w:val="3"/>
        </w:numPr>
        <w:spacing w:after="80"/>
      </w:pPr>
      <w:r>
        <w:rPr>
          <w:rFonts w:ascii="Arial" w:cs="Arial" w:eastAsia="Arial" w:hAnsi="Arial"/>
          <w:sz w:val="22"/>
          <w:szCs w:val="22"/>
        </w:rPr>
        <w:t xml:space="preserve">10. Mediación familiar para conflictos religiosos entre padres separados: cómo funciona</w:t>
      </w:r>
    </w:p>
    <w:p>
      <w:pPr>
        <w:pStyle w:val="ListParagraph"/>
        <w:numPr>
          <w:ilvl w:val="0"/>
          <w:numId w:val="3"/>
        </w:numPr>
        <w:spacing w:after="80"/>
      </w:pPr>
      <w:r>
        <w:rPr>
          <w:rFonts w:ascii="Arial" w:cs="Arial" w:eastAsia="Arial" w:hAnsi="Arial"/>
          <w:sz w:val="22"/>
          <w:szCs w:val="22"/>
        </w:rPr>
        <w:t xml:space="preserve">11. Patria potestad conjunta: ¿puede un progenitor matricular al menor en asignatura de Religión sin el otro?</w:t>
      </w:r>
    </w:p>
    <w:p>
      <w:pPr>
        <w:pStyle w:val="ListParagraph"/>
        <w:numPr>
          <w:ilvl w:val="0"/>
          <w:numId w:val="3"/>
        </w:numPr>
        <w:spacing w:after="80"/>
      </w:pPr>
      <w:r>
        <w:rPr>
          <w:rFonts w:ascii="Arial" w:cs="Arial" w:eastAsia="Arial" w:hAnsi="Arial"/>
          <w:sz w:val="22"/>
          <w:szCs w:val="22"/>
        </w:rPr>
        <w:t xml:space="preserve">12. Bautismo realizado sin consentimiento del otro progenitor: consecuencias legales</w:t>
      </w:r>
    </w:p>
    <w:p>
      <w:pPr>
        <w:pStyle w:val="ListParagraph"/>
        <w:numPr>
          <w:ilvl w:val="0"/>
          <w:numId w:val="3"/>
        </w:numPr>
        <w:spacing w:after="80"/>
      </w:pPr>
      <w:r>
        <w:rPr>
          <w:rFonts w:ascii="Arial" w:cs="Arial" w:eastAsia="Arial" w:hAnsi="Arial"/>
          <w:sz w:val="22"/>
          <w:szCs w:val="22"/>
        </w:rPr>
        <w:t xml:space="preserve">13. Cómo redactar una respuesta a un burofax sobre formación religiosa del menor</w:t>
      </w:r>
    </w:p>
    <w:p>
      <w:pPr>
        <w:pStyle w:val="ListParagraph"/>
        <w:numPr>
          <w:ilvl w:val="0"/>
          <w:numId w:val="3"/>
        </w:numPr>
        <w:spacing w:after="80"/>
      </w:pPr>
      <w:r>
        <w:rPr>
          <w:rFonts w:ascii="Arial" w:cs="Arial" w:eastAsia="Arial" w:hAnsi="Arial"/>
          <w:sz w:val="22"/>
          <w:szCs w:val="22"/>
        </w:rPr>
        <w:t xml:space="preserve">14. Exploración judicial del menor en expediente de jurisdicción voluntaria: qué esperar</w:t>
      </w:r>
    </w:p>
    <w:p>
      <w:pPr>
        <w:pStyle w:val="ListParagraph"/>
        <w:numPr>
          <w:ilvl w:val="0"/>
          <w:numId w:val="3"/>
        </w:numPr>
        <w:spacing w:after="80"/>
      </w:pPr>
      <w:r>
        <w:rPr>
          <w:rFonts w:ascii="Arial" w:cs="Arial" w:eastAsia="Arial" w:hAnsi="Arial"/>
          <w:sz w:val="22"/>
          <w:szCs w:val="22"/>
        </w:rPr>
        <w:t xml:space="preserve">15. ¿Puede el padre con custodia decidir la religión del hijo él solo? Lo que dice la ley</w:t>
      </w:r>
    </w:p>
    <w:p>
      <w:pPr>
        <w:pStyle w:val="ListParagraph"/>
        <w:numPr>
          <w:ilvl w:val="0"/>
          <w:numId w:val="3"/>
        </w:numPr>
        <w:spacing w:after="80"/>
      </w:pPr>
      <w:r>
        <w:rPr>
          <w:rFonts w:ascii="Arial" w:cs="Arial" w:eastAsia="Arial" w:hAnsi="Arial"/>
          <w:sz w:val="22"/>
          <w:szCs w:val="22"/>
        </w:rPr>
        <w:t xml:space="preserve">16. Acuerdo de coparentalidad y religión: qué cláusulas protegen a tus hijos</w:t>
      </w:r>
    </w:p>
    <w:p>
      <w:pPr>
        <w:pStyle w:val="ListParagraph"/>
        <w:numPr>
          <w:ilvl w:val="0"/>
          <w:numId w:val="3"/>
        </w:numPr>
        <w:spacing w:after="80"/>
      </w:pPr>
      <w:r>
        <w:rPr>
          <w:rFonts w:ascii="Arial" w:cs="Arial" w:eastAsia="Arial" w:hAnsi="Arial"/>
          <w:sz w:val="22"/>
          <w:szCs w:val="22"/>
        </w:rPr>
        <w:t xml:space="preserve">17. STC 119/2025 y libertad religiosa del menor: novedades que afectan a padres separados</w:t>
      </w:r>
    </w:p>
    <w:p>
      <w:pPr>
        <w:pStyle w:val="ListParagraph"/>
        <w:numPr>
          <w:ilvl w:val="0"/>
          <w:numId w:val="3"/>
        </w:numPr>
        <w:spacing w:after="80"/>
      </w:pPr>
      <w:r>
        <w:rPr>
          <w:rFonts w:ascii="Arial" w:cs="Arial" w:eastAsia="Arial" w:hAnsi="Arial"/>
          <w:sz w:val="22"/>
          <w:szCs w:val="22"/>
        </w:rPr>
        <w:t xml:space="preserve">18. El padre o la madre se ha convertido a otra religión y quiere imponérsela al hijo: qué hacer</w:t>
      </w:r>
    </w:p>
    <w:p>
      <w:pPr>
        <w:pStyle w:val="ListParagraph"/>
        <w:numPr>
          <w:ilvl w:val="0"/>
          <w:numId w:val="3"/>
        </w:numPr>
        <w:spacing w:after="80"/>
      </w:pPr>
      <w:r>
        <w:rPr>
          <w:rFonts w:ascii="Arial" w:cs="Arial" w:eastAsia="Arial" w:hAnsi="Arial"/>
          <w:sz w:val="22"/>
          <w:szCs w:val="22"/>
        </w:rPr>
        <w:t xml:space="preserve">19. ¿La Primera Comunión sin acuerdo puede afectar al régimen de custodia?</w:t>
      </w:r>
    </w:p>
    <w:p>
      <w:pPr>
        <w:pStyle w:val="ListParagraph"/>
        <w:numPr>
          <w:ilvl w:val="0"/>
          <w:numId w:val="3"/>
        </w:numPr>
        <w:spacing w:after="80"/>
      </w:pPr>
      <w:r>
        <w:rPr>
          <w:rFonts w:ascii="Arial" w:cs="Arial" w:eastAsia="Arial" w:hAnsi="Arial"/>
          <w:sz w:val="22"/>
          <w:szCs w:val="22"/>
        </w:rPr>
        <w:t xml:space="preserve">20. Cómo documentar la voluntad de tu hijo antes de acudir al juzgado por un conflicto religioso</w:t>
      </w:r>
    </w:p>
    <w:p>
      <w:pPr>
        <w:spacing w:after="120"/>
      </w:pPr>
      <w:r>
        <w:t xml:space="preserve"/>
      </w:r>
    </w:p>
    <w:p>
      <w:pPr>
        <w:pStyle w:val="Heading2"/>
        <w:spacing w:after="120" w:before="280"/>
      </w:pPr>
      <w:r>
        <w:rPr>
          <w:rFonts w:ascii="Arial" w:cs="Arial" w:eastAsia="Arial" w:hAnsi="Arial"/>
          <w:b/>
          <w:bCs/>
          <w:color w:val="2E75B6"/>
          <w:sz w:val="28"/>
          <w:szCs w:val="28"/>
        </w:rPr>
        <w:t xml:space="preserve">3.3 Cinco formatos de contenido corto para LinkedIn</w:t>
      </w:r>
    </w:p>
    <w:tbl>
      <w:tblPr>
        <w:tblW w:type="dxa" w:w="9800"/>
        <w:tblBorders>
          <w:top w:val="single" w:color="auto" w:sz="4"/>
          <w:left w:val="single" w:color="auto" w:sz="4"/>
          <w:bottom w:val="single" w:color="auto" w:sz="4"/>
          <w:right w:val="single" w:color="auto" w:sz="4"/>
          <w:insideH w:val="single" w:color="auto" w:sz="4"/>
          <w:insideV w:val="single" w:color="auto" w:sz="4"/>
        </w:tblBorders>
      </w:tblPr>
      <w:tblGrid>
        <w:gridCol w:w="2200"/>
        <w:gridCol w:w="7600"/>
      </w:tblGrid>
      <w:tr>
        <w:trPr>
          <w:tblHeader/>
        </w:trPr>
        <w:tc>
          <w:tcPr>
            <w:tcW w:type="dxa" w:w="2200"/>
            <w:tcBorders>
              <w:top w:val="single" w:color="AAAAAA" w:sz="1"/>
              <w:left w:val="single" w:color="AAAAAA" w:sz="1"/>
              <w:bottom w:val="single" w:color="AAAAAA" w:sz="1"/>
              <w:right w:val="single" w:color="AAAAAA" w:sz="1"/>
            </w:tcBorders>
            <w:shd w:fill="1F4E79" w:val="clear"/>
            <w:tcMar>
              <w:top w:type="dxa" w:w="80"/>
              <w:left w:type="dxa" w:w="120"/>
              <w:bottom w:type="dxa" w:w="80"/>
              <w:right w:type="dxa" w:w="120"/>
            </w:tcMar>
            <w:vAlign w:val="center"/>
          </w:tcPr>
          <w:p>
            <w:pPr>
              <w:jc w:val="center"/>
            </w:pPr>
            <w:r>
              <w:rPr>
                <w:rFonts w:ascii="Arial" w:cs="Arial" w:eastAsia="Arial" w:hAnsi="Arial"/>
                <w:b/>
                <w:bCs/>
                <w:color w:val="FFFFFF"/>
                <w:sz w:val="20"/>
                <w:szCs w:val="20"/>
              </w:rPr>
              <w:t xml:space="preserve">Formato</w:t>
            </w:r>
          </w:p>
        </w:tc>
        <w:tc>
          <w:tcPr>
            <w:tcW w:type="dxa" w:w="7600"/>
            <w:tcBorders>
              <w:top w:val="single" w:color="AAAAAA" w:sz="1"/>
              <w:left w:val="single" w:color="AAAAAA" w:sz="1"/>
              <w:bottom w:val="single" w:color="AAAAAA" w:sz="1"/>
              <w:right w:val="single" w:color="AAAAAA" w:sz="1"/>
            </w:tcBorders>
            <w:shd w:fill="1F4E79" w:val="clear"/>
            <w:tcMar>
              <w:top w:type="dxa" w:w="80"/>
              <w:left w:type="dxa" w:w="120"/>
              <w:bottom w:type="dxa" w:w="80"/>
              <w:right w:type="dxa" w:w="120"/>
            </w:tcMar>
            <w:vAlign w:val="center"/>
          </w:tcPr>
          <w:p>
            <w:pPr>
              <w:jc w:val="center"/>
            </w:pPr>
            <w:r>
              <w:rPr>
                <w:rFonts w:ascii="Arial" w:cs="Arial" w:eastAsia="Arial" w:hAnsi="Arial"/>
                <w:b/>
                <w:bCs/>
                <w:color w:val="FFFFFF"/>
                <w:sz w:val="20"/>
                <w:szCs w:val="20"/>
              </w:rPr>
              <w:t xml:space="preserve">Descripción y uso</w:t>
            </w:r>
          </w:p>
        </w:tc>
      </w:tr>
      <w:tr>
        <w:tc>
          <w:tcPr>
            <w:tcW w:type="dxa" w:w="220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tcPr>
          <w:p>
            <w:r>
              <w:rPr>
                <w:rFonts w:ascii="Arial" w:cs="Arial" w:eastAsia="Arial" w:hAnsi="Arial"/>
                <w:sz w:val="20"/>
                <w:szCs w:val="20"/>
              </w:rPr>
              <w:t xml:space="preserve">Carrusel (6-8 diapositivas)</w:t>
            </w:r>
          </w:p>
        </w:tc>
        <w:tc>
          <w:tcPr>
            <w:tcW w:type="dxa" w:w="760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tcPr>
          <w:p>
            <w:r>
              <w:rPr>
                <w:rFonts w:ascii="Arial" w:cs="Arial" w:eastAsia="Arial" w:hAnsi="Arial"/>
                <w:sz w:val="20"/>
                <w:szCs w:val="20"/>
              </w:rPr>
              <w:t xml:space="preserve">Primera diapositiva: pregunta que desvela el problema ('¿Sabes qué necesita el otro progenitor para bautizar a tu hijo legalmente?'). Diapositivas 2-7: respuesta visual paso a paso. Última: CTA + enlace a la landing. Herramienta: Canva (gratis). Frecuencia: 1/semana.</w:t>
            </w:r>
          </w:p>
        </w:tc>
      </w:tr>
      <w:tr>
        <w:tc>
          <w:tcPr>
            <w:tcW w:type="dxa" w:w="2200"/>
            <w:tcBorders>
              <w:top w:val="single" w:color="AAAAAA" w:sz="1"/>
              <w:left w:val="single" w:color="AAAAAA" w:sz="1"/>
              <w:bottom w:val="single" w:color="AAAAAA" w:sz="1"/>
              <w:right w:val="single" w:color="AAAAAA" w:sz="1"/>
            </w:tcBorders>
            <w:shd w:fill="F0F4FA" w:val="clear"/>
            <w:tcMar>
              <w:top w:type="dxa" w:w="80"/>
              <w:left w:type="dxa" w:w="120"/>
              <w:bottom w:type="dxa" w:w="80"/>
              <w:right w:type="dxa" w:w="120"/>
            </w:tcMar>
          </w:tcPr>
          <w:p>
            <w:r>
              <w:rPr>
                <w:rFonts w:ascii="Arial" w:cs="Arial" w:eastAsia="Arial" w:hAnsi="Arial"/>
                <w:sz w:val="20"/>
                <w:szCs w:val="20"/>
              </w:rPr>
              <w:t xml:space="preserve">Post de texto largo (800-1.200 caracteres)</w:t>
            </w:r>
          </w:p>
        </w:tc>
        <w:tc>
          <w:tcPr>
            <w:tcW w:type="dxa" w:w="7600"/>
            <w:tcBorders>
              <w:top w:val="single" w:color="AAAAAA" w:sz="1"/>
              <w:left w:val="single" w:color="AAAAAA" w:sz="1"/>
              <w:bottom w:val="single" w:color="AAAAAA" w:sz="1"/>
              <w:right w:val="single" w:color="AAAAAA" w:sz="1"/>
            </w:tcBorders>
            <w:shd w:fill="F0F4FA" w:val="clear"/>
            <w:tcMar>
              <w:top w:type="dxa" w:w="80"/>
              <w:left w:type="dxa" w:w="120"/>
              <w:bottom w:type="dxa" w:w="80"/>
              <w:right w:type="dxa" w:w="120"/>
            </w:tcMar>
          </w:tcPr>
          <w:p>
            <w:r>
              <w:rPr>
                <w:rFonts w:ascii="Arial" w:cs="Arial" w:eastAsia="Arial" w:hAnsi="Arial"/>
                <w:sz w:val="20"/>
                <w:szCs w:val="20"/>
              </w:rPr>
              <w:t xml:space="preserve">Formato narrativo: empezar con una situación reconocible ('Ella recibió el burofax un lunes por la mañana...'), desarrollar el problema jurídico en lenguaje llano, cerrar con la solución posible y CTA. Sin listas. Sin emojis en exceso. 1-2 hashtags relevantes al final.</w:t>
            </w:r>
          </w:p>
        </w:tc>
      </w:tr>
      <w:tr>
        <w:tc>
          <w:tcPr>
            <w:tcW w:type="dxa" w:w="220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tcPr>
          <w:p>
            <w:r>
              <w:rPr>
                <w:rFonts w:ascii="Arial" w:cs="Arial" w:eastAsia="Arial" w:hAnsi="Arial"/>
                <w:sz w:val="20"/>
                <w:szCs w:val="20"/>
              </w:rPr>
              <w:t xml:space="preserve">Caso real anonimizado</w:t>
            </w:r>
          </w:p>
        </w:tc>
        <w:tc>
          <w:tcPr>
            <w:tcW w:type="dxa" w:w="760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tcPr>
          <w:p>
            <w:r>
              <w:rPr>
                <w:rFonts w:ascii="Arial" w:cs="Arial" w:eastAsia="Arial" w:hAnsi="Arial"/>
                <w:sz w:val="20"/>
                <w:szCs w:val="20"/>
              </w:rPr>
              <w:t xml:space="preserve">Estructura: SITUACIÓN (sin datos identificadores, sin datos del cliente real) → PROBLEMA LEGAL → SOLUCIÓN ADOPTADA → RESULTADO. Aviso obligatorio al inicio: 'Caso arquetípico basado en supuestos reales anonimizados. No identifica a ninguna persona.' Frecuencia: 1 cada 2 semanas.</w:t>
            </w:r>
          </w:p>
        </w:tc>
      </w:tr>
      <w:tr>
        <w:tc>
          <w:tcPr>
            <w:tcW w:type="dxa" w:w="2200"/>
            <w:tcBorders>
              <w:top w:val="single" w:color="AAAAAA" w:sz="1"/>
              <w:left w:val="single" w:color="AAAAAA" w:sz="1"/>
              <w:bottom w:val="single" w:color="AAAAAA" w:sz="1"/>
              <w:right w:val="single" w:color="AAAAAA" w:sz="1"/>
            </w:tcBorders>
            <w:shd w:fill="F0F4FA" w:val="clear"/>
            <w:tcMar>
              <w:top w:type="dxa" w:w="80"/>
              <w:left w:type="dxa" w:w="120"/>
              <w:bottom w:type="dxa" w:w="80"/>
              <w:right w:type="dxa" w:w="120"/>
            </w:tcMar>
          </w:tcPr>
          <w:p>
            <w:r>
              <w:rPr>
                <w:rFonts w:ascii="Arial" w:cs="Arial" w:eastAsia="Arial" w:hAnsi="Arial"/>
                <w:sz w:val="20"/>
                <w:szCs w:val="20"/>
              </w:rPr>
              <w:t xml:space="preserve">Cita jurisprudencial comentada</w:t>
            </w:r>
          </w:p>
        </w:tc>
        <w:tc>
          <w:tcPr>
            <w:tcW w:type="dxa" w:w="7600"/>
            <w:tcBorders>
              <w:top w:val="single" w:color="AAAAAA" w:sz="1"/>
              <w:left w:val="single" w:color="AAAAAA" w:sz="1"/>
              <w:bottom w:val="single" w:color="AAAAAA" w:sz="1"/>
              <w:right w:val="single" w:color="AAAAAA" w:sz="1"/>
            </w:tcBorders>
            <w:shd w:fill="F0F4FA" w:val="clear"/>
            <w:tcMar>
              <w:top w:type="dxa" w:w="80"/>
              <w:left w:type="dxa" w:w="120"/>
              <w:bottom w:type="dxa" w:w="80"/>
              <w:right w:type="dxa" w:w="120"/>
            </w:tcMar>
          </w:tcPr>
          <w:p>
            <w:r>
              <w:rPr>
                <w:rFonts w:ascii="Arial" w:cs="Arial" w:eastAsia="Arial" w:hAnsi="Arial"/>
                <w:sz w:val="20"/>
                <w:szCs w:val="20"/>
              </w:rPr>
              <w:t xml:space="preserve">Cita textual breve de la STS, STC o SAP relevante (máx. 3 líneas), seguida de 3-5 líneas de comentario en lenguaje accesible explicando qué significa para un padre o madre. Formato visual: imagen con la cita + texto del post debajo. Evitar jerga procesal.</w:t>
            </w:r>
          </w:p>
        </w:tc>
      </w:tr>
      <w:tr>
        <w:tc>
          <w:tcPr>
            <w:tcW w:type="dxa" w:w="220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tcPr>
          <w:p>
            <w:r>
              <w:rPr>
                <w:rFonts w:ascii="Arial" w:cs="Arial" w:eastAsia="Arial" w:hAnsi="Arial"/>
                <w:sz w:val="20"/>
                <w:szCs w:val="20"/>
              </w:rPr>
              <w:t xml:space="preserve">Checklist descargable</w:t>
            </w:r>
          </w:p>
        </w:tc>
        <w:tc>
          <w:tcPr>
            <w:tcW w:type="dxa" w:w="760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tcPr>
          <w:p>
            <w:r>
              <w:rPr>
                <w:rFonts w:ascii="Arial" w:cs="Arial" w:eastAsia="Arial" w:hAnsi="Arial"/>
                <w:sz w:val="20"/>
                <w:szCs w:val="20"/>
              </w:rPr>
              <w:t xml:space="preserve">PDF de 1 página (generado en Canva) con título tipo '7 cosas que debes saber antes de que tu ex bautice a tu hijo sin avisarte'. Se comparte como imagen en LinkedIn con enlace en el primer comentario (pinneado) a la landing para descarga del PDF completo. Genera leads directos.</w:t>
            </w:r>
          </w:p>
        </w:tc>
      </w:tr>
    </w:tbl>
    <w:p>
      <w:pPr>
        <w:spacing w:after="120"/>
      </w:pPr>
      <w:r>
        <w:t xml:space="preserve"/>
      </w:r>
    </w:p>
    <w:p>
      <w:pPr>
        <w:pStyle w:val="Heading2"/>
        <w:spacing w:after="120" w:before="280"/>
      </w:pPr>
      <w:r>
        <w:rPr>
          <w:rFonts w:ascii="Arial" w:cs="Arial" w:eastAsia="Arial" w:hAnsi="Arial"/>
          <w:b/>
          <w:bCs/>
          <w:color w:val="2E75B6"/>
          <w:sz w:val="28"/>
          <w:szCs w:val="28"/>
        </w:rPr>
        <w:t xml:space="preserve">3.4 Política de anonimización y cumplimiento deontológico</w:t>
      </w:r>
    </w:p>
    <w:p>
      <w:pPr>
        <w:spacing w:after="120"/>
        <w:jc w:val="both"/>
      </w:pPr>
      <w:r>
        <w:rPr>
          <w:rFonts w:ascii="Arial" w:cs="Arial" w:eastAsia="Arial" w:hAnsi="Arial"/>
          <w:b w:val="false"/>
          <w:bCs w:val="false"/>
          <w:color w:val="000000"/>
          <w:sz w:val="22"/>
          <w:szCs w:val="22"/>
        </w:rPr>
        <w:t xml:space="preserve">Toda referencia a casos reales en contenido público debe cumplir las siguientes reglas, derivadas del art. 5 (secreto profesional) y art. 25 ss. (publicidad) del Código Deontológico de la Abogacía Española:</w:t>
      </w:r>
    </w:p>
    <w:p>
      <w:pPr>
        <w:pStyle w:val="ListParagraph"/>
        <w:numPr>
          <w:ilvl w:val="0"/>
          <w:numId w:val="3"/>
        </w:numPr>
        <w:spacing w:after="80"/>
      </w:pPr>
      <w:r>
        <w:rPr>
          <w:rFonts w:ascii="Arial" w:cs="Arial" w:eastAsia="Arial" w:hAnsi="Arial"/>
          <w:sz w:val="22"/>
          <w:szCs w:val="22"/>
        </w:rPr>
        <w:t xml:space="preserve">Nunca usar datos reales del cliente (nombre, apellidos, localidad específica, fechas exactas, número de hijos, nombre del colegio, nombre de la parroquia o cualquier otro dato que permita identificar a la persona).</w:t>
      </w:r>
    </w:p>
    <w:p>
      <w:pPr>
        <w:pStyle w:val="ListParagraph"/>
        <w:numPr>
          <w:ilvl w:val="0"/>
          <w:numId w:val="3"/>
        </w:numPr>
        <w:spacing w:after="80"/>
      </w:pPr>
      <w:r>
        <w:rPr>
          <w:rFonts w:ascii="Arial" w:cs="Arial" w:eastAsia="Arial" w:hAnsi="Arial"/>
          <w:sz w:val="22"/>
          <w:szCs w:val="22"/>
        </w:rPr>
        <w:t xml:space="preserve">Sustituir el caso real por un 'caso arquetípico': situación fáctica construida combinando elementos de varios supuestos o puramente ficticia pero jurídicamente verosímil.</w:t>
      </w:r>
    </w:p>
    <w:p>
      <w:pPr>
        <w:pStyle w:val="ListParagraph"/>
        <w:numPr>
          <w:ilvl w:val="0"/>
          <w:numId w:val="3"/>
        </w:numPr>
        <w:spacing w:after="80"/>
      </w:pPr>
      <w:r>
        <w:rPr>
          <w:rFonts w:ascii="Arial" w:cs="Arial" w:eastAsia="Arial" w:hAnsi="Arial"/>
          <w:sz w:val="22"/>
          <w:szCs w:val="22"/>
        </w:rPr>
        <w:t xml:space="preserve">Incluir siempre el aviso: 'El supuesto descrito es un caso arquetípico con fines divulgativos. No corresponde a ningún cliente o expediente real. Cualquier parecido es coincidencia.'</w:t>
      </w:r>
    </w:p>
    <w:p>
      <w:pPr>
        <w:pStyle w:val="ListParagraph"/>
        <w:numPr>
          <w:ilvl w:val="0"/>
          <w:numId w:val="3"/>
        </w:numPr>
        <w:spacing w:after="80"/>
      </w:pPr>
      <w:r>
        <w:rPr>
          <w:rFonts w:ascii="Arial" w:cs="Arial" w:eastAsia="Arial" w:hAnsi="Arial"/>
          <w:sz w:val="22"/>
          <w:szCs w:val="22"/>
        </w:rPr>
        <w:t xml:space="preserve">No afirmar resultados garantizados. Sustituir 'ganamos el caso' por 'en un supuesto de estas características, la vía X resultó adecuada porque...'.</w:t>
      </w:r>
    </w:p>
    <w:p>
      <w:pPr>
        <w:pStyle w:val="ListParagraph"/>
        <w:numPr>
          <w:ilvl w:val="0"/>
          <w:numId w:val="3"/>
        </w:numPr>
        <w:spacing w:after="80"/>
      </w:pPr>
      <w:r>
        <w:rPr>
          <w:rFonts w:ascii="Arial" w:cs="Arial" w:eastAsia="Arial" w:hAnsi="Arial"/>
          <w:sz w:val="22"/>
          <w:szCs w:val="22"/>
        </w:rPr>
        <w:t xml:space="preserve">No comparar peyorativamente con otros letrados o despachos (art. 25.3 CDAE).</w:t>
      </w:r>
    </w:p>
    <w:p>
      <w:pPr>
        <w:pStyle w:val="ListParagraph"/>
        <w:numPr>
          <w:ilvl w:val="0"/>
          <w:numId w:val="3"/>
        </w:numPr>
        <w:spacing w:after="80"/>
      </w:pPr>
      <w:r>
        <w:rPr>
          <w:rFonts w:ascii="Arial" w:cs="Arial" w:eastAsia="Arial" w:hAnsi="Arial"/>
          <w:sz w:val="22"/>
          <w:szCs w:val="22"/>
        </w:rPr>
        <w:t xml:space="preserve">No efectuar captación directa de clientes de otros letrados ni contactar a personas que hayan manifestado tener representación letrada.</w:t>
      </w:r>
    </w:p>
    <w:p>
      <w:pPr>
        <w:pStyle w:val="ListParagraph"/>
        <w:numPr>
          <w:ilvl w:val="0"/>
          <w:numId w:val="3"/>
        </w:numPr>
        <w:spacing w:after="80"/>
      </w:pPr>
      <w:r>
        <w:rPr>
          <w:rFonts w:ascii="Arial" w:cs="Arial" w:eastAsia="Arial" w:hAnsi="Arial"/>
          <w:sz w:val="22"/>
          <w:szCs w:val="22"/>
        </w:rPr>
        <w:t xml:space="preserve">Revisar con criterio deontológico antes de publicar cualquier pieza de contenido. En caso de duda, consultar con el Colegio de Abogados correspondiente.</w:t>
      </w:r>
    </w:p>
    <w:p>
      <w:r>
        <w:br w:type="page"/>
      </w:r>
    </w:p>
    <w:p>
      <w:pPr>
        <w:pStyle w:val="Heading1"/>
        <w:spacing w:after="180" w:before="360"/>
      </w:pPr>
      <w:r>
        <w:rPr>
          <w:rFonts w:ascii="Arial" w:cs="Arial" w:eastAsia="Arial" w:hAnsi="Arial"/>
          <w:b/>
          <w:bCs/>
          <w:color w:val="1F4E79"/>
          <w:sz w:val="36"/>
          <w:szCs w:val="36"/>
        </w:rPr>
        <w:t xml:space="preserve">4. Funnel de captación concreto</w:t>
      </w:r>
    </w:p>
    <w:p>
      <w:pPr>
        <w:pStyle w:val="Heading2"/>
        <w:spacing w:after="120" w:before="280"/>
      </w:pPr>
      <w:r>
        <w:rPr>
          <w:rFonts w:ascii="Arial" w:cs="Arial" w:eastAsia="Arial" w:hAnsi="Arial"/>
          <w:b/>
          <w:bCs/>
          <w:color w:val="2E75B6"/>
          <w:sz w:val="28"/>
          <w:szCs w:val="28"/>
        </w:rPr>
        <w:t xml:space="preserve">4.1 Mapa del funnel</w:t>
      </w:r>
    </w:p>
    <w:tbl>
      <w:tblPr>
        <w:tblW w:type="dxa" w:w="9800"/>
        <w:tblBorders>
          <w:top w:val="single" w:color="auto" w:sz="4"/>
          <w:left w:val="single" w:color="auto" w:sz="4"/>
          <w:bottom w:val="single" w:color="auto" w:sz="4"/>
          <w:right w:val="single" w:color="auto" w:sz="4"/>
          <w:insideH w:val="single" w:color="auto" w:sz="4"/>
          <w:insideV w:val="single" w:color="auto" w:sz="4"/>
        </w:tblBorders>
      </w:tblPr>
      <w:tblGrid>
        <w:gridCol w:w="2000"/>
        <w:gridCol w:w="4500"/>
        <w:gridCol w:w="3300"/>
      </w:tblGrid>
      <w:tr>
        <w:trPr>
          <w:tblHeader/>
        </w:trPr>
        <w:tc>
          <w:tcPr>
            <w:tcW w:type="dxa" w:w="2000"/>
            <w:tcBorders>
              <w:top w:val="single" w:color="AAAAAA" w:sz="1"/>
              <w:left w:val="single" w:color="AAAAAA" w:sz="1"/>
              <w:bottom w:val="single" w:color="AAAAAA" w:sz="1"/>
              <w:right w:val="single" w:color="AAAAAA" w:sz="1"/>
            </w:tcBorders>
            <w:shd w:fill="1F4E79" w:val="clear"/>
            <w:tcMar>
              <w:top w:type="dxa" w:w="80"/>
              <w:left w:type="dxa" w:w="120"/>
              <w:bottom w:type="dxa" w:w="80"/>
              <w:right w:type="dxa" w:w="120"/>
            </w:tcMar>
            <w:vAlign w:val="center"/>
          </w:tcPr>
          <w:p>
            <w:pPr>
              <w:jc w:val="center"/>
            </w:pPr>
            <w:r>
              <w:rPr>
                <w:rFonts w:ascii="Arial" w:cs="Arial" w:eastAsia="Arial" w:hAnsi="Arial"/>
                <w:b/>
                <w:bCs/>
                <w:color w:val="FFFFFF"/>
                <w:sz w:val="20"/>
                <w:szCs w:val="20"/>
              </w:rPr>
              <w:t xml:space="preserve">Etapa</w:t>
            </w:r>
          </w:p>
        </w:tc>
        <w:tc>
          <w:tcPr>
            <w:tcW w:type="dxa" w:w="4500"/>
            <w:tcBorders>
              <w:top w:val="single" w:color="AAAAAA" w:sz="1"/>
              <w:left w:val="single" w:color="AAAAAA" w:sz="1"/>
              <w:bottom w:val="single" w:color="AAAAAA" w:sz="1"/>
              <w:right w:val="single" w:color="AAAAAA" w:sz="1"/>
            </w:tcBorders>
            <w:shd w:fill="1F4E79" w:val="clear"/>
            <w:tcMar>
              <w:top w:type="dxa" w:w="80"/>
              <w:left w:type="dxa" w:w="120"/>
              <w:bottom w:type="dxa" w:w="80"/>
              <w:right w:type="dxa" w:w="120"/>
            </w:tcMar>
            <w:vAlign w:val="center"/>
          </w:tcPr>
          <w:p>
            <w:pPr>
              <w:jc w:val="center"/>
            </w:pPr>
            <w:r>
              <w:rPr>
                <w:rFonts w:ascii="Arial" w:cs="Arial" w:eastAsia="Arial" w:hAnsi="Arial"/>
                <w:b/>
                <w:bCs/>
                <w:color w:val="FFFFFF"/>
                <w:sz w:val="20"/>
                <w:szCs w:val="20"/>
              </w:rPr>
              <w:t xml:space="preserve">Mecanismo</w:t>
            </w:r>
          </w:p>
        </w:tc>
        <w:tc>
          <w:tcPr>
            <w:tcW w:type="dxa" w:w="3300"/>
            <w:tcBorders>
              <w:top w:val="single" w:color="AAAAAA" w:sz="1"/>
              <w:left w:val="single" w:color="AAAAAA" w:sz="1"/>
              <w:bottom w:val="single" w:color="AAAAAA" w:sz="1"/>
              <w:right w:val="single" w:color="AAAAAA" w:sz="1"/>
            </w:tcBorders>
            <w:shd w:fill="1F4E79" w:val="clear"/>
            <w:tcMar>
              <w:top w:type="dxa" w:w="80"/>
              <w:left w:type="dxa" w:w="120"/>
              <w:bottom w:type="dxa" w:w="80"/>
              <w:right w:type="dxa" w:w="120"/>
            </w:tcMar>
            <w:vAlign w:val="center"/>
          </w:tcPr>
          <w:p>
            <w:pPr>
              <w:jc w:val="center"/>
            </w:pPr>
            <w:r>
              <w:rPr>
                <w:rFonts w:ascii="Arial" w:cs="Arial" w:eastAsia="Arial" w:hAnsi="Arial"/>
                <w:b/>
                <w:bCs/>
                <w:color w:val="FFFFFF"/>
                <w:sz w:val="20"/>
                <w:szCs w:val="20"/>
              </w:rPr>
              <w:t xml:space="preserve">Objetivo</w:t>
            </w:r>
          </w:p>
        </w:tc>
      </w:tr>
      <w:tr>
        <w:tc>
          <w:tcPr>
            <w:tcW w:type="dxa" w:w="200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tcPr>
          <w:p>
            <w:r>
              <w:rPr>
                <w:rFonts w:ascii="Arial" w:cs="Arial" w:eastAsia="Arial" w:hAnsi="Arial"/>
                <w:sz w:val="20"/>
                <w:szCs w:val="20"/>
              </w:rPr>
              <w:t xml:space="preserve">ATRACCIÓN</w:t>
            </w:r>
          </w:p>
        </w:tc>
        <w:tc>
          <w:tcPr>
            <w:tcW w:type="dxa" w:w="450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tcPr>
          <w:p>
            <w:r>
              <w:rPr>
                <w:rFonts w:ascii="Arial" w:cs="Arial" w:eastAsia="Arial" w:hAnsi="Arial"/>
                <w:sz w:val="20"/>
                <w:szCs w:val="20"/>
              </w:rPr>
              <w:t xml:space="preserve">SEO orgánico (artículos long-tail) + LinkedIn personal (carruseles, posts) + Google Ads (micro-campaña local)</w:t>
            </w:r>
          </w:p>
        </w:tc>
        <w:tc>
          <w:tcPr>
            <w:tcW w:type="dxa" w:w="330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tcPr>
          <w:p>
            <w:r>
              <w:rPr>
                <w:rFonts w:ascii="Arial" w:cs="Arial" w:eastAsia="Arial" w:hAnsi="Arial"/>
                <w:sz w:val="20"/>
                <w:szCs w:val="20"/>
              </w:rPr>
              <w:t xml:space="preserve">Generar visitas cualificadas a la landing: personas en situación de conflicto activo o latente sobre formación religiosa/sacramentos del menor</w:t>
            </w:r>
          </w:p>
        </w:tc>
      </w:tr>
      <w:tr>
        <w:tc>
          <w:tcPr>
            <w:tcW w:type="dxa" w:w="2000"/>
            <w:tcBorders>
              <w:top w:val="single" w:color="AAAAAA" w:sz="1"/>
              <w:left w:val="single" w:color="AAAAAA" w:sz="1"/>
              <w:bottom w:val="single" w:color="AAAAAA" w:sz="1"/>
              <w:right w:val="single" w:color="AAAAAA" w:sz="1"/>
            </w:tcBorders>
            <w:shd w:fill="F0F4FA" w:val="clear"/>
            <w:tcMar>
              <w:top w:type="dxa" w:w="80"/>
              <w:left w:type="dxa" w:w="120"/>
              <w:bottom w:type="dxa" w:w="80"/>
              <w:right w:type="dxa" w:w="120"/>
            </w:tcMar>
          </w:tcPr>
          <w:p>
            <w:r>
              <w:rPr>
                <w:rFonts w:ascii="Arial" w:cs="Arial" w:eastAsia="Arial" w:hAnsi="Arial"/>
                <w:sz w:val="20"/>
                <w:szCs w:val="20"/>
              </w:rPr>
              <w:t xml:space="preserve">LEAD MAGNET</w:t>
            </w:r>
          </w:p>
        </w:tc>
        <w:tc>
          <w:tcPr>
            <w:tcW w:type="dxa" w:w="4500"/>
            <w:tcBorders>
              <w:top w:val="single" w:color="AAAAAA" w:sz="1"/>
              <w:left w:val="single" w:color="AAAAAA" w:sz="1"/>
              <w:bottom w:val="single" w:color="AAAAAA" w:sz="1"/>
              <w:right w:val="single" w:color="AAAAAA" w:sz="1"/>
            </w:tcBorders>
            <w:shd w:fill="F0F4FA" w:val="clear"/>
            <w:tcMar>
              <w:top w:type="dxa" w:w="80"/>
              <w:left w:type="dxa" w:w="120"/>
              <w:bottom w:type="dxa" w:w="80"/>
              <w:right w:type="dxa" w:w="120"/>
            </w:tcMar>
          </w:tcPr>
          <w:p>
            <w:r>
              <w:rPr>
                <w:rFonts w:ascii="Arial" w:cs="Arial" w:eastAsia="Arial" w:hAnsi="Arial"/>
                <w:sz w:val="20"/>
                <w:szCs w:val="20"/>
              </w:rPr>
              <w:t xml:space="preserve">Descarga gratuita del PDF desde la landing (formulario nombre + email + teléfono opcional). Sin registro previo obligatorio.</w:t>
            </w:r>
          </w:p>
        </w:tc>
        <w:tc>
          <w:tcPr>
            <w:tcW w:type="dxa" w:w="3300"/>
            <w:tcBorders>
              <w:top w:val="single" w:color="AAAAAA" w:sz="1"/>
              <w:left w:val="single" w:color="AAAAAA" w:sz="1"/>
              <w:bottom w:val="single" w:color="AAAAAA" w:sz="1"/>
              <w:right w:val="single" w:color="AAAAAA" w:sz="1"/>
            </w:tcBorders>
            <w:shd w:fill="F0F4FA" w:val="clear"/>
            <w:tcMar>
              <w:top w:type="dxa" w:w="80"/>
              <w:left w:type="dxa" w:w="120"/>
              <w:bottom w:type="dxa" w:w="80"/>
              <w:right w:type="dxa" w:w="120"/>
            </w:tcMar>
          </w:tcPr>
          <w:p>
            <w:r>
              <w:rPr>
                <w:rFonts w:ascii="Arial" w:cs="Arial" w:eastAsia="Arial" w:hAnsi="Arial"/>
                <w:sz w:val="20"/>
                <w:szCs w:val="20"/>
              </w:rPr>
              <w:t xml:space="preserve">Capturar datos de contacto de personas con problema real. Conversión esperada: 10-20% de visitantes únicos.</w:t>
            </w:r>
          </w:p>
        </w:tc>
      </w:tr>
      <w:tr>
        <w:tc>
          <w:tcPr>
            <w:tcW w:type="dxa" w:w="200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tcPr>
          <w:p>
            <w:r>
              <w:rPr>
                <w:rFonts w:ascii="Arial" w:cs="Arial" w:eastAsia="Arial" w:hAnsi="Arial"/>
                <w:sz w:val="20"/>
                <w:szCs w:val="20"/>
              </w:rPr>
              <w:t xml:space="preserve">SECUENCIA EMAIL</w:t>
            </w:r>
          </w:p>
        </w:tc>
        <w:tc>
          <w:tcPr>
            <w:tcW w:type="dxa" w:w="450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tcPr>
          <w:p>
            <w:r>
              <w:rPr>
                <w:rFonts w:ascii="Arial" w:cs="Arial" w:eastAsia="Arial" w:hAnsi="Arial"/>
                <w:sz w:val="20"/>
                <w:szCs w:val="20"/>
              </w:rPr>
              <w:t xml:space="preserve">5 emails automáticos en 14 días (ver 4.3). ESP: Brevo o Mailerlite (plan gratuito).</w:t>
            </w:r>
          </w:p>
        </w:tc>
        <w:tc>
          <w:tcPr>
            <w:tcW w:type="dxa" w:w="330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tcPr>
          <w:p>
            <w:r>
              <w:rPr>
                <w:rFonts w:ascii="Arial" w:cs="Arial" w:eastAsia="Arial" w:hAnsi="Arial"/>
                <w:sz w:val="20"/>
                <w:szCs w:val="20"/>
              </w:rPr>
              <w:t xml:space="preserve">Nutrir la relación, demostrar autoridad, superar objeciones y conseguir que reserven una llamada inicial.</w:t>
            </w:r>
          </w:p>
        </w:tc>
      </w:tr>
      <w:tr>
        <w:tc>
          <w:tcPr>
            <w:tcW w:type="dxa" w:w="2000"/>
            <w:tcBorders>
              <w:top w:val="single" w:color="AAAAAA" w:sz="1"/>
              <w:left w:val="single" w:color="AAAAAA" w:sz="1"/>
              <w:bottom w:val="single" w:color="AAAAAA" w:sz="1"/>
              <w:right w:val="single" w:color="AAAAAA" w:sz="1"/>
            </w:tcBorders>
            <w:shd w:fill="F0F4FA" w:val="clear"/>
            <w:tcMar>
              <w:top w:type="dxa" w:w="80"/>
              <w:left w:type="dxa" w:w="120"/>
              <w:bottom w:type="dxa" w:w="80"/>
              <w:right w:type="dxa" w:w="120"/>
            </w:tcMar>
          </w:tcPr>
          <w:p>
            <w:r>
              <w:rPr>
                <w:rFonts w:ascii="Arial" w:cs="Arial" w:eastAsia="Arial" w:hAnsi="Arial"/>
                <w:sz w:val="20"/>
                <w:szCs w:val="20"/>
              </w:rPr>
              <w:t xml:space="preserve">LLAMADA INICIAL (15 min)</w:t>
            </w:r>
          </w:p>
        </w:tc>
        <w:tc>
          <w:tcPr>
            <w:tcW w:type="dxa" w:w="4500"/>
            <w:tcBorders>
              <w:top w:val="single" w:color="AAAAAA" w:sz="1"/>
              <w:left w:val="single" w:color="AAAAAA" w:sz="1"/>
              <w:bottom w:val="single" w:color="AAAAAA" w:sz="1"/>
              <w:right w:val="single" w:color="AAAAAA" w:sz="1"/>
            </w:tcBorders>
            <w:shd w:fill="F0F4FA" w:val="clear"/>
            <w:tcMar>
              <w:top w:type="dxa" w:w="80"/>
              <w:left w:type="dxa" w:w="120"/>
              <w:bottom w:type="dxa" w:w="80"/>
              <w:right w:type="dxa" w:w="120"/>
            </w:tcMar>
          </w:tcPr>
          <w:p>
            <w:r>
              <w:rPr>
                <w:rFonts w:ascii="Arial" w:cs="Arial" w:eastAsia="Arial" w:hAnsi="Arial"/>
                <w:sz w:val="20"/>
                <w:szCs w:val="20"/>
              </w:rPr>
              <w:t xml:space="preserve">Enlace Calendly (plan gratuito) en email 3 y email 5. Llamada de cualificación + encuadre + honorarios (ver 4.4).</w:t>
            </w:r>
          </w:p>
        </w:tc>
        <w:tc>
          <w:tcPr>
            <w:tcW w:type="dxa" w:w="3300"/>
            <w:tcBorders>
              <w:top w:val="single" w:color="AAAAAA" w:sz="1"/>
              <w:left w:val="single" w:color="AAAAAA" w:sz="1"/>
              <w:bottom w:val="single" w:color="AAAAAA" w:sz="1"/>
              <w:right w:val="single" w:color="AAAAAA" w:sz="1"/>
            </w:tcBorders>
            <w:shd w:fill="F0F4FA" w:val="clear"/>
            <w:tcMar>
              <w:top w:type="dxa" w:w="80"/>
              <w:left w:type="dxa" w:w="120"/>
              <w:bottom w:type="dxa" w:w="80"/>
              <w:right w:type="dxa" w:w="120"/>
            </w:tcMar>
          </w:tcPr>
          <w:p>
            <w:r>
              <w:rPr>
                <w:rFonts w:ascii="Arial" w:cs="Arial" w:eastAsia="Arial" w:hAnsi="Arial"/>
                <w:sz w:val="20"/>
                <w:szCs w:val="20"/>
              </w:rPr>
              <w:t xml:space="preserve">Convertir lead en cliente potencial cualificado. GO/NO-GO (ver 4.5).</w:t>
            </w:r>
          </w:p>
        </w:tc>
      </w:tr>
      <w:tr>
        <w:tc>
          <w:tcPr>
            <w:tcW w:type="dxa" w:w="200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tcPr>
          <w:p>
            <w:r>
              <w:rPr>
                <w:rFonts w:ascii="Arial" w:cs="Arial" w:eastAsia="Arial" w:hAnsi="Arial"/>
                <w:sz w:val="20"/>
                <w:szCs w:val="20"/>
              </w:rPr>
              <w:t xml:space="preserve">ENCARGO PROFESIONAL</w:t>
            </w:r>
          </w:p>
        </w:tc>
        <w:tc>
          <w:tcPr>
            <w:tcW w:type="dxa" w:w="450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tcPr>
          <w:p>
            <w:r>
              <w:rPr>
                <w:rFonts w:ascii="Arial" w:cs="Arial" w:eastAsia="Arial" w:hAnsi="Arial"/>
                <w:sz w:val="20"/>
                <w:szCs w:val="20"/>
              </w:rPr>
              <w:t xml:space="preserve">Primera consulta presencial o videoconferencia (45-60 min). Hoja de encargo firmada. Provisión de fondos.</w:t>
            </w:r>
          </w:p>
        </w:tc>
        <w:tc>
          <w:tcPr>
            <w:tcW w:type="dxa" w:w="330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tcPr>
          <w:p>
            <w:r>
              <w:rPr>
                <w:rFonts w:ascii="Arial" w:cs="Arial" w:eastAsia="Arial" w:hAnsi="Arial"/>
                <w:sz w:val="20"/>
                <w:szCs w:val="20"/>
              </w:rPr>
              <w:t xml:space="preserve">Formalizar la relación profesional.</w:t>
            </w:r>
          </w:p>
        </w:tc>
      </w:tr>
    </w:tbl>
    <w:p>
      <w:pPr>
        <w:spacing w:after="120"/>
      </w:pPr>
      <w:r>
        <w:t xml:space="preserve"/>
      </w:r>
    </w:p>
    <w:p>
      <w:pPr>
        <w:pStyle w:val="Heading2"/>
        <w:spacing w:after="120" w:before="280"/>
      </w:pPr>
      <w:r>
        <w:rPr>
          <w:rFonts w:ascii="Arial" w:cs="Arial" w:eastAsia="Arial" w:hAnsi="Arial"/>
          <w:b/>
          <w:bCs/>
          <w:color w:val="2E75B6"/>
          <w:sz w:val="28"/>
          <w:szCs w:val="28"/>
        </w:rPr>
        <w:t xml:space="preserve">4.2 Lead magnets — dos alternativas</w:t>
      </w:r>
    </w:p>
    <w:p>
      <w:pPr>
        <w:pStyle w:val="Heading3"/>
        <w:spacing w:after="80" w:before="200"/>
      </w:pPr>
      <w:r>
        <w:rPr>
          <w:rFonts w:ascii="Arial" w:cs="Arial" w:eastAsia="Arial" w:hAnsi="Arial"/>
          <w:b/>
          <w:bCs/>
          <w:color w:val="C55A11"/>
          <w:sz w:val="24"/>
          <w:szCs w:val="24"/>
        </w:rPr>
        <w:t xml:space="preserve">Opción A (recomendada): Guía práctica de acción inmediata</w:t>
      </w:r>
    </w:p>
    <w:tbl>
      <w:tblPr>
        <w:tblW w:type="dxa" w:w="9800"/>
        <w:tblBorders>
          <w:top w:val="single" w:color="auto" w:sz="4"/>
          <w:left w:val="single" w:color="auto" w:sz="4"/>
          <w:bottom w:val="single" w:color="auto" w:sz="4"/>
          <w:right w:val="single" w:color="auto" w:sz="4"/>
          <w:insideH w:val="single" w:color="auto" w:sz="4"/>
          <w:insideV w:val="single" w:color="auto" w:sz="4"/>
        </w:tblBorders>
      </w:tblPr>
      <w:tblGrid>
        <w:gridCol w:w="2200"/>
        <w:gridCol w:w="7600"/>
      </w:tblGrid>
      <w:tr>
        <w:trPr>
          <w:tblHeader/>
        </w:trPr>
        <w:tc>
          <w:tcPr>
            <w:tcW w:type="dxa" w:w="2200"/>
            <w:tcBorders>
              <w:top w:val="single" w:color="AAAAAA" w:sz="1"/>
              <w:left w:val="single" w:color="AAAAAA" w:sz="1"/>
              <w:bottom w:val="single" w:color="AAAAAA" w:sz="1"/>
              <w:right w:val="single" w:color="AAAAAA" w:sz="1"/>
            </w:tcBorders>
            <w:shd w:fill="1F4E79" w:val="clear"/>
            <w:tcMar>
              <w:top w:type="dxa" w:w="80"/>
              <w:left w:type="dxa" w:w="120"/>
              <w:bottom w:type="dxa" w:w="80"/>
              <w:right w:type="dxa" w:w="120"/>
            </w:tcMar>
            <w:vAlign w:val="center"/>
          </w:tcPr>
          <w:p>
            <w:pPr>
              <w:jc w:val="center"/>
            </w:pPr>
            <w:r>
              <w:rPr>
                <w:rFonts w:ascii="Arial" w:cs="Arial" w:eastAsia="Arial" w:hAnsi="Arial"/>
                <w:b/>
                <w:bCs/>
                <w:color w:val="FFFFFF"/>
                <w:sz w:val="20"/>
                <w:szCs w:val="20"/>
              </w:rPr>
              <w:t xml:space="preserve">Campo</w:t>
            </w:r>
          </w:p>
        </w:tc>
        <w:tc>
          <w:tcPr>
            <w:tcW w:type="dxa" w:w="7600"/>
            <w:tcBorders>
              <w:top w:val="single" w:color="AAAAAA" w:sz="1"/>
              <w:left w:val="single" w:color="AAAAAA" w:sz="1"/>
              <w:bottom w:val="single" w:color="AAAAAA" w:sz="1"/>
              <w:right w:val="single" w:color="AAAAAA" w:sz="1"/>
            </w:tcBorders>
            <w:shd w:fill="1F4E79" w:val="clear"/>
            <w:tcMar>
              <w:top w:type="dxa" w:w="80"/>
              <w:left w:type="dxa" w:w="120"/>
              <w:bottom w:type="dxa" w:w="80"/>
              <w:right w:type="dxa" w:w="120"/>
            </w:tcMar>
            <w:vAlign w:val="center"/>
          </w:tcPr>
          <w:p>
            <w:pPr>
              <w:jc w:val="center"/>
            </w:pPr>
            <w:r>
              <w:rPr>
                <w:rFonts w:ascii="Arial" w:cs="Arial" w:eastAsia="Arial" w:hAnsi="Arial"/>
                <w:b/>
                <w:bCs/>
                <w:color w:val="FFFFFF"/>
                <w:sz w:val="20"/>
                <w:szCs w:val="20"/>
              </w:rPr>
              <w:t xml:space="preserve">Descripción</w:t>
            </w:r>
          </w:p>
        </w:tc>
      </w:tr>
      <w:tr>
        <w:tc>
          <w:tcPr>
            <w:tcW w:type="dxa" w:w="220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tcPr>
          <w:p>
            <w:r>
              <w:rPr>
                <w:rFonts w:ascii="Arial" w:cs="Arial" w:eastAsia="Arial" w:hAnsi="Arial"/>
                <w:sz w:val="20"/>
                <w:szCs w:val="20"/>
              </w:rPr>
              <w:t xml:space="preserve">Título</w:t>
            </w:r>
          </w:p>
        </w:tc>
        <w:tc>
          <w:tcPr>
            <w:tcW w:type="dxa" w:w="760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tcPr>
          <w:p>
            <w:r>
              <w:rPr>
                <w:rFonts w:ascii="Arial" w:cs="Arial" w:eastAsia="Arial" w:hAnsi="Arial"/>
                <w:sz w:val="20"/>
                <w:szCs w:val="20"/>
              </w:rPr>
              <w:t xml:space="preserve">'Qué hacer si el otro progenitor toma decisiones religiosas sobre tu hijo sin avisarte: guía paso a paso'</w:t>
            </w:r>
          </w:p>
        </w:tc>
      </w:tr>
      <w:tr>
        <w:tc>
          <w:tcPr>
            <w:tcW w:type="dxa" w:w="2200"/>
            <w:tcBorders>
              <w:top w:val="single" w:color="AAAAAA" w:sz="1"/>
              <w:left w:val="single" w:color="AAAAAA" w:sz="1"/>
              <w:bottom w:val="single" w:color="AAAAAA" w:sz="1"/>
              <w:right w:val="single" w:color="AAAAAA" w:sz="1"/>
            </w:tcBorders>
            <w:shd w:fill="F0F4FA" w:val="clear"/>
            <w:tcMar>
              <w:top w:type="dxa" w:w="80"/>
              <w:left w:type="dxa" w:w="120"/>
              <w:bottom w:type="dxa" w:w="80"/>
              <w:right w:type="dxa" w:w="120"/>
            </w:tcMar>
          </w:tcPr>
          <w:p>
            <w:r>
              <w:rPr>
                <w:rFonts w:ascii="Arial" w:cs="Arial" w:eastAsia="Arial" w:hAnsi="Arial"/>
                <w:sz w:val="20"/>
                <w:szCs w:val="20"/>
              </w:rPr>
              <w:t xml:space="preserve">Formato</w:t>
            </w:r>
          </w:p>
        </w:tc>
        <w:tc>
          <w:tcPr>
            <w:tcW w:type="dxa" w:w="7600"/>
            <w:tcBorders>
              <w:top w:val="single" w:color="AAAAAA" w:sz="1"/>
              <w:left w:val="single" w:color="AAAAAA" w:sz="1"/>
              <w:bottom w:val="single" w:color="AAAAAA" w:sz="1"/>
              <w:right w:val="single" w:color="AAAAAA" w:sz="1"/>
            </w:tcBorders>
            <w:shd w:fill="F0F4FA" w:val="clear"/>
            <w:tcMar>
              <w:top w:type="dxa" w:w="80"/>
              <w:left w:type="dxa" w:w="120"/>
              <w:bottom w:type="dxa" w:w="80"/>
              <w:right w:type="dxa" w:w="120"/>
            </w:tcMar>
          </w:tcPr>
          <w:p>
            <w:r>
              <w:rPr>
                <w:rFonts w:ascii="Arial" w:cs="Arial" w:eastAsia="Arial" w:hAnsi="Arial"/>
                <w:sz w:val="20"/>
                <w:szCs w:val="20"/>
              </w:rPr>
              <w:t xml:space="preserve">PDF de 4-6 páginas. Maquetado en Canva. Descargable desde la landing.</w:t>
            </w:r>
          </w:p>
        </w:tc>
      </w:tr>
      <w:tr>
        <w:tc>
          <w:tcPr>
            <w:tcW w:type="dxa" w:w="220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tcPr>
          <w:p>
            <w:r>
              <w:rPr>
                <w:rFonts w:ascii="Arial" w:cs="Arial" w:eastAsia="Arial" w:hAnsi="Arial"/>
                <w:sz w:val="20"/>
                <w:szCs w:val="20"/>
              </w:rPr>
              <w:t xml:space="preserve">Extensión</w:t>
            </w:r>
          </w:p>
        </w:tc>
        <w:tc>
          <w:tcPr>
            <w:tcW w:type="dxa" w:w="760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tcPr>
          <w:p>
            <w:r>
              <w:rPr>
                <w:rFonts w:ascii="Arial" w:cs="Arial" w:eastAsia="Arial" w:hAnsi="Arial"/>
                <w:sz w:val="20"/>
                <w:szCs w:val="20"/>
              </w:rPr>
              <w:t xml:space="preserve">1.200-1.500 palabras + infográfico del mapa de escenarios (A-D) del caso de origen</w:t>
            </w:r>
          </w:p>
        </w:tc>
      </w:tr>
      <w:tr>
        <w:tc>
          <w:tcPr>
            <w:tcW w:type="dxa" w:w="2200"/>
            <w:tcBorders>
              <w:top w:val="single" w:color="AAAAAA" w:sz="1"/>
              <w:left w:val="single" w:color="AAAAAA" w:sz="1"/>
              <w:bottom w:val="single" w:color="AAAAAA" w:sz="1"/>
              <w:right w:val="single" w:color="AAAAAA" w:sz="1"/>
            </w:tcBorders>
            <w:shd w:fill="F0F4FA" w:val="clear"/>
            <w:tcMar>
              <w:top w:type="dxa" w:w="80"/>
              <w:left w:type="dxa" w:w="120"/>
              <w:bottom w:type="dxa" w:w="80"/>
              <w:right w:type="dxa" w:w="120"/>
            </w:tcMar>
          </w:tcPr>
          <w:p>
            <w:r>
              <w:rPr>
                <w:rFonts w:ascii="Arial" w:cs="Arial" w:eastAsia="Arial" w:hAnsi="Arial"/>
                <w:sz w:val="20"/>
                <w:szCs w:val="20"/>
              </w:rPr>
              <w:t xml:space="preserve">Problema que resuelve</w:t>
            </w:r>
          </w:p>
        </w:tc>
        <w:tc>
          <w:tcPr>
            <w:tcW w:type="dxa" w:w="7600"/>
            <w:tcBorders>
              <w:top w:val="single" w:color="AAAAAA" w:sz="1"/>
              <w:left w:val="single" w:color="AAAAAA" w:sz="1"/>
              <w:bottom w:val="single" w:color="AAAAAA" w:sz="1"/>
              <w:right w:val="single" w:color="AAAAAA" w:sz="1"/>
            </w:tcBorders>
            <w:shd w:fill="F0F4FA" w:val="clear"/>
            <w:tcMar>
              <w:top w:type="dxa" w:w="80"/>
              <w:left w:type="dxa" w:w="120"/>
              <w:bottom w:type="dxa" w:w="80"/>
              <w:right w:type="dxa" w:w="120"/>
            </w:tcMar>
          </w:tcPr>
          <w:p>
            <w:r>
              <w:rPr>
                <w:rFonts w:ascii="Arial" w:cs="Arial" w:eastAsia="Arial" w:hAnsi="Arial"/>
                <w:sz w:val="20"/>
                <w:szCs w:val="20"/>
              </w:rPr>
              <w:t xml:space="preserve">Reduce la angustia inmediata ('¿qué hago ahora?') y educa sobre las 4 vías disponibles (acuerdo, mediación, JV, contencioso). Genera confianza y posiciona al abogado como experto antes de la primera llamada.</w:t>
            </w:r>
          </w:p>
        </w:tc>
      </w:tr>
      <w:tr>
        <w:tc>
          <w:tcPr>
            <w:tcW w:type="dxa" w:w="220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tcPr>
          <w:p>
            <w:r>
              <w:rPr>
                <w:rFonts w:ascii="Arial" w:cs="Arial" w:eastAsia="Arial" w:hAnsi="Arial"/>
                <w:sz w:val="20"/>
                <w:szCs w:val="20"/>
              </w:rPr>
              <w:t xml:space="preserve">Fuente jurídica</w:t>
            </w:r>
          </w:p>
        </w:tc>
        <w:tc>
          <w:tcPr>
            <w:tcW w:type="dxa" w:w="760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tcPr>
          <w:p>
            <w:r>
              <w:rPr>
                <w:rFonts w:ascii="Arial" w:cs="Arial" w:eastAsia="Arial" w:hAnsi="Arial"/>
                <w:sz w:val="20"/>
                <w:szCs w:val="20"/>
              </w:rPr>
              <w:t xml:space="preserve">Estrategia_Patria_Potestad_Formacion_Religiosa.pdf, apartado II (Mapa de escenarios) — anonimizado y adaptado al público general.</w:t>
            </w:r>
          </w:p>
        </w:tc>
      </w:tr>
    </w:tbl>
    <w:p>
      <w:pPr>
        <w:spacing w:after="120"/>
      </w:pPr>
      <w:r>
        <w:t xml:space="preserve"/>
      </w:r>
    </w:p>
    <w:p>
      <w:pPr>
        <w:pStyle w:val="Heading3"/>
        <w:spacing w:after="80" w:before="200"/>
      </w:pPr>
      <w:r>
        <w:rPr>
          <w:rFonts w:ascii="Arial" w:cs="Arial" w:eastAsia="Arial" w:hAnsi="Arial"/>
          <w:b/>
          <w:bCs/>
          <w:color w:val="C55A11"/>
          <w:sz w:val="24"/>
          <w:szCs w:val="24"/>
        </w:rPr>
        <w:t xml:space="preserve">Opción B: Checklist de urgencia</w:t>
      </w:r>
    </w:p>
    <w:tbl>
      <w:tblPr>
        <w:tblW w:type="dxa" w:w="9800"/>
        <w:tblBorders>
          <w:top w:val="single" w:color="auto" w:sz="4"/>
          <w:left w:val="single" w:color="auto" w:sz="4"/>
          <w:bottom w:val="single" w:color="auto" w:sz="4"/>
          <w:right w:val="single" w:color="auto" w:sz="4"/>
          <w:insideH w:val="single" w:color="auto" w:sz="4"/>
          <w:insideV w:val="single" w:color="auto" w:sz="4"/>
        </w:tblBorders>
      </w:tblPr>
      <w:tblGrid>
        <w:gridCol w:w="2200"/>
        <w:gridCol w:w="7600"/>
      </w:tblGrid>
      <w:tr>
        <w:trPr>
          <w:tblHeader/>
        </w:trPr>
        <w:tc>
          <w:tcPr>
            <w:tcW w:type="dxa" w:w="2200"/>
            <w:tcBorders>
              <w:top w:val="single" w:color="AAAAAA" w:sz="1"/>
              <w:left w:val="single" w:color="AAAAAA" w:sz="1"/>
              <w:bottom w:val="single" w:color="AAAAAA" w:sz="1"/>
              <w:right w:val="single" w:color="AAAAAA" w:sz="1"/>
            </w:tcBorders>
            <w:shd w:fill="1F4E79" w:val="clear"/>
            <w:tcMar>
              <w:top w:type="dxa" w:w="80"/>
              <w:left w:type="dxa" w:w="120"/>
              <w:bottom w:type="dxa" w:w="80"/>
              <w:right w:type="dxa" w:w="120"/>
            </w:tcMar>
            <w:vAlign w:val="center"/>
          </w:tcPr>
          <w:p>
            <w:pPr>
              <w:jc w:val="center"/>
            </w:pPr>
            <w:r>
              <w:rPr>
                <w:rFonts w:ascii="Arial" w:cs="Arial" w:eastAsia="Arial" w:hAnsi="Arial"/>
                <w:b/>
                <w:bCs/>
                <w:color w:val="FFFFFF"/>
                <w:sz w:val="20"/>
                <w:szCs w:val="20"/>
              </w:rPr>
              <w:t xml:space="preserve">Campo</w:t>
            </w:r>
          </w:p>
        </w:tc>
        <w:tc>
          <w:tcPr>
            <w:tcW w:type="dxa" w:w="7600"/>
            <w:tcBorders>
              <w:top w:val="single" w:color="AAAAAA" w:sz="1"/>
              <w:left w:val="single" w:color="AAAAAA" w:sz="1"/>
              <w:bottom w:val="single" w:color="AAAAAA" w:sz="1"/>
              <w:right w:val="single" w:color="AAAAAA" w:sz="1"/>
            </w:tcBorders>
            <w:shd w:fill="1F4E79" w:val="clear"/>
            <w:tcMar>
              <w:top w:type="dxa" w:w="80"/>
              <w:left w:type="dxa" w:w="120"/>
              <w:bottom w:type="dxa" w:w="80"/>
              <w:right w:type="dxa" w:w="120"/>
            </w:tcMar>
            <w:vAlign w:val="center"/>
          </w:tcPr>
          <w:p>
            <w:pPr>
              <w:jc w:val="center"/>
            </w:pPr>
            <w:r>
              <w:rPr>
                <w:rFonts w:ascii="Arial" w:cs="Arial" w:eastAsia="Arial" w:hAnsi="Arial"/>
                <w:b/>
                <w:bCs/>
                <w:color w:val="FFFFFF"/>
                <w:sz w:val="20"/>
                <w:szCs w:val="20"/>
              </w:rPr>
              <w:t xml:space="preserve">Descripción</w:t>
            </w:r>
          </w:p>
        </w:tc>
      </w:tr>
      <w:tr>
        <w:tc>
          <w:tcPr>
            <w:tcW w:type="dxa" w:w="220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tcPr>
          <w:p>
            <w:r>
              <w:rPr>
                <w:rFonts w:ascii="Arial" w:cs="Arial" w:eastAsia="Arial" w:hAnsi="Arial"/>
                <w:sz w:val="20"/>
                <w:szCs w:val="20"/>
              </w:rPr>
              <w:t xml:space="preserve">Título</w:t>
            </w:r>
          </w:p>
        </w:tc>
        <w:tc>
          <w:tcPr>
            <w:tcW w:type="dxa" w:w="760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tcPr>
          <w:p>
            <w:r>
              <w:rPr>
                <w:rFonts w:ascii="Arial" w:cs="Arial" w:eastAsia="Arial" w:hAnsi="Arial"/>
                <w:sz w:val="20"/>
                <w:szCs w:val="20"/>
              </w:rPr>
              <w:t xml:space="preserve">'7 señales de que tu caso necesita un abogado esta semana (y no en dos meses)'</w:t>
            </w:r>
          </w:p>
        </w:tc>
      </w:tr>
      <w:tr>
        <w:tc>
          <w:tcPr>
            <w:tcW w:type="dxa" w:w="2200"/>
            <w:tcBorders>
              <w:top w:val="single" w:color="AAAAAA" w:sz="1"/>
              <w:left w:val="single" w:color="AAAAAA" w:sz="1"/>
              <w:bottom w:val="single" w:color="AAAAAA" w:sz="1"/>
              <w:right w:val="single" w:color="AAAAAA" w:sz="1"/>
            </w:tcBorders>
            <w:shd w:fill="F0F4FA" w:val="clear"/>
            <w:tcMar>
              <w:top w:type="dxa" w:w="80"/>
              <w:left w:type="dxa" w:w="120"/>
              <w:bottom w:type="dxa" w:w="80"/>
              <w:right w:type="dxa" w:w="120"/>
            </w:tcMar>
          </w:tcPr>
          <w:p>
            <w:r>
              <w:rPr>
                <w:rFonts w:ascii="Arial" w:cs="Arial" w:eastAsia="Arial" w:hAnsi="Arial"/>
                <w:sz w:val="20"/>
                <w:szCs w:val="20"/>
              </w:rPr>
              <w:t xml:space="preserve">Formato</w:t>
            </w:r>
          </w:p>
        </w:tc>
        <w:tc>
          <w:tcPr>
            <w:tcW w:type="dxa" w:w="7600"/>
            <w:tcBorders>
              <w:top w:val="single" w:color="AAAAAA" w:sz="1"/>
              <w:left w:val="single" w:color="AAAAAA" w:sz="1"/>
              <w:bottom w:val="single" w:color="AAAAAA" w:sz="1"/>
              <w:right w:val="single" w:color="AAAAAA" w:sz="1"/>
            </w:tcBorders>
            <w:shd w:fill="F0F4FA" w:val="clear"/>
            <w:tcMar>
              <w:top w:type="dxa" w:w="80"/>
              <w:left w:type="dxa" w:w="120"/>
              <w:bottom w:type="dxa" w:w="80"/>
              <w:right w:type="dxa" w:w="120"/>
            </w:tcMar>
          </w:tcPr>
          <w:p>
            <w:r>
              <w:rPr>
                <w:rFonts w:ascii="Arial" w:cs="Arial" w:eastAsia="Arial" w:hAnsi="Arial"/>
                <w:sz w:val="20"/>
                <w:szCs w:val="20"/>
              </w:rPr>
              <w:t xml:space="preserve">PDF de 1 página. Checklist visual. Fácil de consumir en 2 minutos.</w:t>
            </w:r>
          </w:p>
        </w:tc>
      </w:tr>
      <w:tr>
        <w:tc>
          <w:tcPr>
            <w:tcW w:type="dxa" w:w="220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tcPr>
          <w:p>
            <w:r>
              <w:rPr>
                <w:rFonts w:ascii="Arial" w:cs="Arial" w:eastAsia="Arial" w:hAnsi="Arial"/>
                <w:sz w:val="20"/>
                <w:szCs w:val="20"/>
              </w:rPr>
              <w:t xml:space="preserve">Extensión</w:t>
            </w:r>
          </w:p>
        </w:tc>
        <w:tc>
          <w:tcPr>
            <w:tcW w:type="dxa" w:w="760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tcPr>
          <w:p>
            <w:r>
              <w:rPr>
                <w:rFonts w:ascii="Arial" w:cs="Arial" w:eastAsia="Arial" w:hAnsi="Arial"/>
                <w:sz w:val="20"/>
                <w:szCs w:val="20"/>
              </w:rPr>
              <w:t xml:space="preserve">7 ítems con explicación breve de cada uno. Baja fricción para el usuario.</w:t>
            </w:r>
          </w:p>
        </w:tc>
      </w:tr>
      <w:tr>
        <w:tc>
          <w:tcPr>
            <w:tcW w:type="dxa" w:w="2200"/>
            <w:tcBorders>
              <w:top w:val="single" w:color="AAAAAA" w:sz="1"/>
              <w:left w:val="single" w:color="AAAAAA" w:sz="1"/>
              <w:bottom w:val="single" w:color="AAAAAA" w:sz="1"/>
              <w:right w:val="single" w:color="AAAAAA" w:sz="1"/>
            </w:tcBorders>
            <w:shd w:fill="F0F4FA" w:val="clear"/>
            <w:tcMar>
              <w:top w:type="dxa" w:w="80"/>
              <w:left w:type="dxa" w:w="120"/>
              <w:bottom w:type="dxa" w:w="80"/>
              <w:right w:type="dxa" w:w="120"/>
            </w:tcMar>
          </w:tcPr>
          <w:p>
            <w:r>
              <w:rPr>
                <w:rFonts w:ascii="Arial" w:cs="Arial" w:eastAsia="Arial" w:hAnsi="Arial"/>
                <w:sz w:val="20"/>
                <w:szCs w:val="20"/>
              </w:rPr>
              <w:t xml:space="preserve">Problema que resuelve</w:t>
            </w:r>
          </w:p>
        </w:tc>
        <w:tc>
          <w:tcPr>
            <w:tcW w:type="dxa" w:w="7600"/>
            <w:tcBorders>
              <w:top w:val="single" w:color="AAAAAA" w:sz="1"/>
              <w:left w:val="single" w:color="AAAAAA" w:sz="1"/>
              <w:bottom w:val="single" w:color="AAAAAA" w:sz="1"/>
              <w:right w:val="single" w:color="AAAAAA" w:sz="1"/>
            </w:tcBorders>
            <w:shd w:fill="F0F4FA" w:val="clear"/>
            <w:tcMar>
              <w:top w:type="dxa" w:w="80"/>
              <w:left w:type="dxa" w:w="120"/>
              <w:bottom w:type="dxa" w:w="80"/>
              <w:right w:type="dxa" w:w="120"/>
            </w:tcMar>
          </w:tcPr>
          <w:p>
            <w:r>
              <w:rPr>
                <w:rFonts w:ascii="Arial" w:cs="Arial" w:eastAsia="Arial" w:hAnsi="Arial"/>
                <w:sz w:val="20"/>
                <w:szCs w:val="20"/>
              </w:rPr>
              <w:t xml:space="preserve">Ayuda al potencial cliente a autoevaluar la urgencia de su situación. Especialmente útil para personas que dudan si su caso 'es para abogado'.</w:t>
            </w:r>
          </w:p>
        </w:tc>
      </w:tr>
      <w:tr>
        <w:tc>
          <w:tcPr>
            <w:tcW w:type="dxa" w:w="220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tcPr>
          <w:p>
            <w:r>
              <w:rPr>
                <w:rFonts w:ascii="Arial" w:cs="Arial" w:eastAsia="Arial" w:hAnsi="Arial"/>
                <w:sz w:val="20"/>
                <w:szCs w:val="20"/>
              </w:rPr>
              <w:t xml:space="preserve">Cuándo usarla</w:t>
            </w:r>
          </w:p>
        </w:tc>
        <w:tc>
          <w:tcPr>
            <w:tcW w:type="dxa" w:w="760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tcPr>
          <w:p>
            <w:r>
              <w:rPr>
                <w:rFonts w:ascii="Arial" w:cs="Arial" w:eastAsia="Arial" w:hAnsi="Arial"/>
                <w:sz w:val="20"/>
                <w:szCs w:val="20"/>
              </w:rPr>
              <w:t xml:space="preserve">Como alternativa a la Opción A o como segundo lead magnet en la secuencia de email (email día 9).</w:t>
            </w:r>
          </w:p>
        </w:tc>
      </w:tr>
    </w:tbl>
    <w:p>
      <w:pPr>
        <w:spacing w:after="120"/>
      </w:pPr>
      <w:r>
        <w:t xml:space="preserve"/>
      </w:r>
    </w:p>
    <w:p>
      <w:pPr>
        <w:pStyle w:val="Heading2"/>
        <w:spacing w:after="120" w:before="280"/>
      </w:pPr>
      <w:r>
        <w:rPr>
          <w:rFonts w:ascii="Arial" w:cs="Arial" w:eastAsia="Arial" w:hAnsi="Arial"/>
          <w:b/>
          <w:bCs/>
          <w:color w:val="2E75B6"/>
          <w:sz w:val="28"/>
          <w:szCs w:val="28"/>
        </w:rPr>
        <w:t xml:space="preserve">4.3 Secuencia de 5 emails</w:t>
      </w:r>
    </w:p>
    <w:p>
      <w:pPr>
        <w:spacing w:after="120"/>
        <w:jc w:val="both"/>
      </w:pPr>
      <w:r>
        <w:rPr>
          <w:rFonts w:ascii="Arial" w:cs="Arial" w:eastAsia="Arial" w:hAnsi="Arial"/>
          <w:b w:val="false"/>
          <w:bCs w:val="false"/>
          <w:color w:val="000000"/>
          <w:sz w:val="22"/>
          <w:szCs w:val="22"/>
        </w:rPr>
        <w:t xml:space="preserve">Configurar en Brevo o Mailerlite. Trigger: descarga del lead magnet. Nombre del remitente: nombre real del abogado/a + nombre del despacho. Dirección de respuesta: real (no noreply).</w:t>
      </w:r>
    </w:p>
    <w:p>
      <w:pPr>
        <w:spacing w:after="120"/>
      </w:pPr>
      <w:r>
        <w:t xml:space="preserve"/>
      </w:r>
    </w:p>
    <w:p>
      <w:pPr>
        <w:pStyle w:val="Heading3"/>
        <w:spacing w:after="80" w:before="200"/>
      </w:pPr>
      <w:r>
        <w:rPr>
          <w:rFonts w:ascii="Arial" w:cs="Arial" w:eastAsia="Arial" w:hAnsi="Arial"/>
          <w:b/>
          <w:bCs/>
          <w:color w:val="C55A11"/>
          <w:sz w:val="24"/>
          <w:szCs w:val="24"/>
        </w:rPr>
        <w:t xml:space="preserve">Email 1 — Día 0 (envío inmediato tras descarga)</w:t>
      </w:r>
    </w:p>
    <w:p>
      <w:pPr>
        <w:spacing w:after="120"/>
        <w:jc w:val="both"/>
      </w:pPr>
      <w:r>
        <w:rPr>
          <w:rFonts w:ascii="Arial" w:cs="Arial" w:eastAsia="Arial" w:hAnsi="Arial"/>
          <w:b/>
          <w:bCs/>
          <w:sz w:val="22"/>
          <w:szCs w:val="22"/>
        </w:rPr>
        <w:t xml:space="preserve">Asunto: </w:t>
      </w:r>
      <w:r>
        <w:rPr>
          <w:rFonts w:ascii="Arial" w:cs="Arial" w:eastAsia="Arial" w:hAnsi="Arial"/>
          <w:sz w:val="22"/>
          <w:szCs w:val="22"/>
        </w:rPr>
        <w:t xml:space="preserve">Tu guía ya está aquí + una cosa que deberías saber</w:t>
      </w:r>
    </w:p>
    <w:p>
      <w:pPr>
        <w:spacing w:after="120"/>
        <w:jc w:val="both"/>
      </w:pPr>
      <w:r>
        <w:rPr>
          <w:rFonts w:ascii="Arial" w:cs="Arial" w:eastAsia="Arial" w:hAnsi="Arial"/>
          <w:b/>
          <w:bCs/>
          <w:sz w:val="22"/>
          <w:szCs w:val="22"/>
        </w:rPr>
        <w:t xml:space="preserve">Objetivo: </w:t>
      </w:r>
      <w:r>
        <w:rPr>
          <w:rFonts w:ascii="Arial" w:cs="Arial" w:eastAsia="Arial" w:hAnsi="Arial"/>
          <w:sz w:val="22"/>
          <w:szCs w:val="22"/>
        </w:rPr>
        <w:t xml:space="preserve">Entregar el lead magnet, presentarse de forma personal y plantar la semilla de la consulta.</w:t>
      </w:r>
    </w:p>
    <w:p>
      <w:pPr>
        <w:spacing w:after="120"/>
        <w:jc w:val="both"/>
      </w:pPr>
      <w:r>
        <w:rPr>
          <w:rFonts w:ascii="Arial" w:cs="Arial" w:eastAsia="Arial" w:hAnsi="Arial"/>
          <w:b/>
          <w:bCs/>
          <w:color w:val="000000"/>
          <w:sz w:val="22"/>
          <w:szCs w:val="22"/>
        </w:rPr>
        <w:t xml:space="preserve">Estructura:</w:t>
      </w:r>
    </w:p>
    <w:p>
      <w:pPr>
        <w:pStyle w:val="ListParagraph"/>
        <w:numPr>
          <w:ilvl w:val="0"/>
          <w:numId w:val="3"/>
        </w:numPr>
        <w:spacing w:after="80"/>
      </w:pPr>
      <w:r>
        <w:rPr>
          <w:rFonts w:ascii="Arial" w:cs="Arial" w:eastAsia="Arial" w:hAnsi="Arial"/>
          <w:sz w:val="22"/>
          <w:szCs w:val="22"/>
        </w:rPr>
        <w:t xml:space="preserve">APERTURA: Saludo personal. 'Hola [nombre], aquí tienes tu guía. La he escrito pensando en personas que están exactamente donde estás tú ahora mismo.'</w:t>
      </w:r>
    </w:p>
    <w:p>
      <w:pPr>
        <w:pStyle w:val="ListParagraph"/>
        <w:numPr>
          <w:ilvl w:val="0"/>
          <w:numId w:val="3"/>
        </w:numPr>
        <w:spacing w:after="80"/>
      </w:pPr>
      <w:r>
        <w:rPr>
          <w:rFonts w:ascii="Arial" w:cs="Arial" w:eastAsia="Arial" w:hAnsi="Arial"/>
          <w:sz w:val="22"/>
          <w:szCs w:val="22"/>
        </w:rPr>
        <w:t xml:space="preserve">CUERPO: 3 párrafos cortos. (1) Qué encontrarás en la guía. (2) El problema más común que cometen las personas en esta situación: esperar demasiado. (3) Una frase de la STS 465/2015 explicada en lenguaje llano.</w:t>
      </w:r>
    </w:p>
    <w:p>
      <w:pPr>
        <w:pStyle w:val="ListParagraph"/>
        <w:numPr>
          <w:ilvl w:val="0"/>
          <w:numId w:val="3"/>
        </w:numPr>
        <w:spacing w:after="80"/>
      </w:pPr>
      <w:r>
        <w:rPr>
          <w:rFonts w:ascii="Arial" w:cs="Arial" w:eastAsia="Arial" w:hAnsi="Arial"/>
          <w:sz w:val="22"/>
          <w:szCs w:val="22"/>
        </w:rPr>
        <w:t xml:space="preserve">CTA: 'Si lees la guía y quieres contarme tu situación, puedo hacer hueco esta semana para una llamada de 15 minutos. Sin compromiso. [Enlace Calendly]'</w:t>
      </w:r>
    </w:p>
    <w:p>
      <w:pPr>
        <w:spacing w:after="120"/>
      </w:pPr>
      <w:r>
        <w:t xml:space="preserve"/>
      </w:r>
    </w:p>
    <w:p>
      <w:pPr>
        <w:pStyle w:val="Heading3"/>
        <w:spacing w:after="80" w:before="200"/>
      </w:pPr>
      <w:r>
        <w:rPr>
          <w:rFonts w:ascii="Arial" w:cs="Arial" w:eastAsia="Arial" w:hAnsi="Arial"/>
          <w:b/>
          <w:bCs/>
          <w:color w:val="C55A11"/>
          <w:sz w:val="24"/>
          <w:szCs w:val="24"/>
        </w:rPr>
        <w:t xml:space="preserve">Email 2 — Día 2</w:t>
      </w:r>
    </w:p>
    <w:p>
      <w:pPr>
        <w:spacing w:after="120"/>
        <w:jc w:val="both"/>
      </w:pPr>
      <w:r>
        <w:rPr>
          <w:rFonts w:ascii="Arial" w:cs="Arial" w:eastAsia="Arial" w:hAnsi="Arial"/>
          <w:b/>
          <w:bCs/>
          <w:sz w:val="22"/>
          <w:szCs w:val="22"/>
        </w:rPr>
        <w:t xml:space="preserve">Asunto: </w:t>
      </w:r>
      <w:r>
        <w:rPr>
          <w:rFonts w:ascii="Arial" w:cs="Arial" w:eastAsia="Arial" w:hAnsi="Arial"/>
          <w:sz w:val="22"/>
          <w:szCs w:val="22"/>
        </w:rPr>
        <w:t xml:space="preserve">¿Sabes cuál de los 4 caminos es el tuyo?</w:t>
      </w:r>
    </w:p>
    <w:p>
      <w:pPr>
        <w:spacing w:after="120"/>
        <w:jc w:val="both"/>
      </w:pPr>
      <w:r>
        <w:rPr>
          <w:rFonts w:ascii="Arial" w:cs="Arial" w:eastAsia="Arial" w:hAnsi="Arial"/>
          <w:b/>
          <w:bCs/>
          <w:sz w:val="22"/>
          <w:szCs w:val="22"/>
        </w:rPr>
        <w:t xml:space="preserve">Objetivo: </w:t>
      </w:r>
      <w:r>
        <w:rPr>
          <w:rFonts w:ascii="Arial" w:cs="Arial" w:eastAsia="Arial" w:hAnsi="Arial"/>
          <w:sz w:val="22"/>
          <w:szCs w:val="22"/>
        </w:rPr>
        <w:t xml:space="preserve">Educar sobre los 4 escenarios (acuerdo, mediación, JV, contencioso) y reducir el miedo al proceso judicial.</w:t>
      </w:r>
    </w:p>
    <w:p>
      <w:pPr>
        <w:spacing w:after="120"/>
        <w:jc w:val="both"/>
      </w:pPr>
      <w:r>
        <w:rPr>
          <w:rFonts w:ascii="Arial" w:cs="Arial" w:eastAsia="Arial" w:hAnsi="Arial"/>
          <w:b/>
          <w:bCs/>
          <w:color w:val="000000"/>
          <w:sz w:val="22"/>
          <w:szCs w:val="22"/>
        </w:rPr>
        <w:t xml:space="preserve">Estructura:</w:t>
      </w:r>
    </w:p>
    <w:p>
      <w:pPr>
        <w:pStyle w:val="ListParagraph"/>
        <w:numPr>
          <w:ilvl w:val="0"/>
          <w:numId w:val="3"/>
        </w:numPr>
        <w:spacing w:after="80"/>
      </w:pPr>
      <w:r>
        <w:rPr>
          <w:rFonts w:ascii="Arial" w:cs="Arial" w:eastAsia="Arial" w:hAnsi="Arial"/>
          <w:sz w:val="22"/>
          <w:szCs w:val="22"/>
        </w:rPr>
        <w:t xml:space="preserve">APERTURA: 'Te cuento algo que casi nadie sabe: hay cuatro maneras de resolver este conflicto, y solo una de ellas implica un juicio.'</w:t>
      </w:r>
    </w:p>
    <w:p>
      <w:pPr>
        <w:pStyle w:val="ListParagraph"/>
        <w:numPr>
          <w:ilvl w:val="0"/>
          <w:numId w:val="3"/>
        </w:numPr>
        <w:spacing w:after="80"/>
      </w:pPr>
      <w:r>
        <w:rPr>
          <w:rFonts w:ascii="Arial" w:cs="Arial" w:eastAsia="Arial" w:hAnsi="Arial"/>
          <w:sz w:val="22"/>
          <w:szCs w:val="22"/>
        </w:rPr>
        <w:t xml:space="preserve">CUERPO: Descripción breve (2-3 líneas) de cada escenario del mapa de la guía. Destacar que el 60% de los casos se resuelven en el escenario A o B (acuerdo o mediación). [Supuesto a validar por JC con estadística propia si existe]</w:t>
      </w:r>
    </w:p>
    <w:p>
      <w:pPr>
        <w:pStyle w:val="ListParagraph"/>
        <w:numPr>
          <w:ilvl w:val="0"/>
          <w:numId w:val="3"/>
        </w:numPr>
        <w:spacing w:after="80"/>
      </w:pPr>
      <w:r>
        <w:rPr>
          <w:rFonts w:ascii="Arial" w:cs="Arial" w:eastAsia="Arial" w:hAnsi="Arial"/>
          <w:sz w:val="22"/>
          <w:szCs w:val="22"/>
        </w:rPr>
        <w:t xml:space="preserve">CTA: 'En la primera llamada te digo en qué escenario estás y cuál es el siguiente paso concreto. [Reservar llamada]'</w:t>
      </w:r>
    </w:p>
    <w:p>
      <w:pPr>
        <w:spacing w:after="120"/>
      </w:pPr>
      <w:r>
        <w:t xml:space="preserve"/>
      </w:r>
    </w:p>
    <w:p>
      <w:pPr>
        <w:pStyle w:val="Heading3"/>
        <w:spacing w:after="80" w:before="200"/>
      </w:pPr>
      <w:r>
        <w:rPr>
          <w:rFonts w:ascii="Arial" w:cs="Arial" w:eastAsia="Arial" w:hAnsi="Arial"/>
          <w:b/>
          <w:bCs/>
          <w:color w:val="C55A11"/>
          <w:sz w:val="24"/>
          <w:szCs w:val="24"/>
        </w:rPr>
        <w:t xml:space="preserve">Email 3 — Día 5</w:t>
      </w:r>
    </w:p>
    <w:p>
      <w:pPr>
        <w:spacing w:after="120"/>
        <w:jc w:val="both"/>
      </w:pPr>
      <w:r>
        <w:rPr>
          <w:rFonts w:ascii="Arial" w:cs="Arial" w:eastAsia="Arial" w:hAnsi="Arial"/>
          <w:b/>
          <w:bCs/>
          <w:sz w:val="22"/>
          <w:szCs w:val="22"/>
        </w:rPr>
        <w:t xml:space="preserve">Asunto: </w:t>
      </w:r>
      <w:r>
        <w:rPr>
          <w:rFonts w:ascii="Arial" w:cs="Arial" w:eastAsia="Arial" w:hAnsi="Arial"/>
          <w:sz w:val="22"/>
          <w:szCs w:val="22"/>
        </w:rPr>
        <w:t xml:space="preserve">Un caso parecido al tuyo (y cómo se resolvió)</w:t>
      </w:r>
    </w:p>
    <w:p>
      <w:pPr>
        <w:spacing w:after="120"/>
        <w:jc w:val="both"/>
      </w:pPr>
      <w:r>
        <w:rPr>
          <w:rFonts w:ascii="Arial" w:cs="Arial" w:eastAsia="Arial" w:hAnsi="Arial"/>
          <w:b/>
          <w:bCs/>
          <w:sz w:val="22"/>
          <w:szCs w:val="22"/>
        </w:rPr>
        <w:t xml:space="preserve">Objetivo: </w:t>
      </w:r>
      <w:r>
        <w:rPr>
          <w:rFonts w:ascii="Arial" w:cs="Arial" w:eastAsia="Arial" w:hAnsi="Arial"/>
          <w:sz w:val="22"/>
          <w:szCs w:val="22"/>
        </w:rPr>
        <w:t xml:space="preserve">Prueba social mediante caso arquetípico anonimizado. Superar la objeción 'no sé si mi caso tiene solución'.</w:t>
      </w:r>
    </w:p>
    <w:p>
      <w:pPr>
        <w:spacing w:after="120"/>
        <w:jc w:val="both"/>
      </w:pPr>
      <w:r>
        <w:rPr>
          <w:rFonts w:ascii="Arial" w:cs="Arial" w:eastAsia="Arial" w:hAnsi="Arial"/>
          <w:b/>
          <w:bCs/>
          <w:color w:val="000000"/>
          <w:sz w:val="22"/>
          <w:szCs w:val="22"/>
        </w:rPr>
        <w:t xml:space="preserve">Estructura:</w:t>
      </w:r>
    </w:p>
    <w:p>
      <w:pPr>
        <w:pStyle w:val="ListParagraph"/>
        <w:numPr>
          <w:ilvl w:val="0"/>
          <w:numId w:val="3"/>
        </w:numPr>
        <w:spacing w:after="80"/>
      </w:pPr>
      <w:r>
        <w:rPr>
          <w:rFonts w:ascii="Arial" w:cs="Arial" w:eastAsia="Arial" w:hAnsi="Arial"/>
          <w:sz w:val="22"/>
          <w:szCs w:val="22"/>
        </w:rPr>
        <w:t xml:space="preserve">APERTURA: Caso arquetípico en 3-4 líneas. 'Una madre recibió un burofax un martes. Su ex había inscrito a su hijo de 9 años en catequesis sin avisarla. Tenía 10 días para responder. No sabía qué hacer.'</w:t>
      </w:r>
    </w:p>
    <w:p>
      <w:pPr>
        <w:pStyle w:val="ListParagraph"/>
        <w:numPr>
          <w:ilvl w:val="0"/>
          <w:numId w:val="3"/>
        </w:numPr>
        <w:spacing w:after="80"/>
      </w:pPr>
      <w:r>
        <w:rPr>
          <w:rFonts w:ascii="Arial" w:cs="Arial" w:eastAsia="Arial" w:hAnsi="Arial"/>
          <w:sz w:val="22"/>
          <w:szCs w:val="22"/>
        </w:rPr>
        <w:t xml:space="preserve">CUERPO: Desarrollo del caso (250 palabras máximo). Situación → análisis del escenario → vía elegida → resultado. Aviso deontológico: 'Caso arquetípico. No identifica a ninguna persona real.'</w:t>
      </w:r>
    </w:p>
    <w:p>
      <w:pPr>
        <w:pStyle w:val="ListParagraph"/>
        <w:numPr>
          <w:ilvl w:val="0"/>
          <w:numId w:val="3"/>
        </w:numPr>
        <w:spacing w:after="80"/>
      </w:pPr>
      <w:r>
        <w:rPr>
          <w:rFonts w:ascii="Arial" w:cs="Arial" w:eastAsia="Arial" w:hAnsi="Arial"/>
          <w:sz w:val="22"/>
          <w:szCs w:val="22"/>
        </w:rPr>
        <w:t xml:space="preserve">CTA: 'Si tu situación se parece a esta, puedo ayudarte. [Reservar llamada de 15 minutos]'</w:t>
      </w:r>
    </w:p>
    <w:p>
      <w:pPr>
        <w:spacing w:after="120"/>
      </w:pPr>
      <w:r>
        <w:t xml:space="preserve"/>
      </w:r>
    </w:p>
    <w:p>
      <w:pPr>
        <w:pStyle w:val="Heading3"/>
        <w:spacing w:after="80" w:before="200"/>
      </w:pPr>
      <w:r>
        <w:rPr>
          <w:rFonts w:ascii="Arial" w:cs="Arial" w:eastAsia="Arial" w:hAnsi="Arial"/>
          <w:b/>
          <w:bCs/>
          <w:color w:val="C55A11"/>
          <w:sz w:val="24"/>
          <w:szCs w:val="24"/>
        </w:rPr>
        <w:t xml:space="preserve">Email 4 — Día 9</w:t>
      </w:r>
    </w:p>
    <w:p>
      <w:pPr>
        <w:spacing w:after="120"/>
        <w:jc w:val="both"/>
      </w:pPr>
      <w:r>
        <w:rPr>
          <w:rFonts w:ascii="Arial" w:cs="Arial" w:eastAsia="Arial" w:hAnsi="Arial"/>
          <w:b/>
          <w:bCs/>
          <w:sz w:val="22"/>
          <w:szCs w:val="22"/>
        </w:rPr>
        <w:t xml:space="preserve">Asunto: </w:t>
      </w:r>
      <w:r>
        <w:rPr>
          <w:rFonts w:ascii="Arial" w:cs="Arial" w:eastAsia="Arial" w:hAnsi="Arial"/>
          <w:sz w:val="22"/>
          <w:szCs w:val="22"/>
        </w:rPr>
        <w:t xml:space="preserve">Las 3 objeciones que más escucho (y lo que pienso de verdad)</w:t>
      </w:r>
    </w:p>
    <w:p>
      <w:pPr>
        <w:spacing w:after="120"/>
        <w:jc w:val="both"/>
      </w:pPr>
      <w:r>
        <w:rPr>
          <w:rFonts w:ascii="Arial" w:cs="Arial" w:eastAsia="Arial" w:hAnsi="Arial"/>
          <w:b/>
          <w:bCs/>
          <w:sz w:val="22"/>
          <w:szCs w:val="22"/>
        </w:rPr>
        <w:t xml:space="preserve">Objetivo: </w:t>
      </w:r>
      <w:r>
        <w:rPr>
          <w:rFonts w:ascii="Arial" w:cs="Arial" w:eastAsia="Arial" w:hAnsi="Arial"/>
          <w:sz w:val="22"/>
          <w:szCs w:val="22"/>
        </w:rPr>
        <w:t xml:space="preserve">Rebatir las objeciones principales con empatía y honestidad. No presionar.</w:t>
      </w:r>
    </w:p>
    <w:p>
      <w:pPr>
        <w:spacing w:after="120"/>
        <w:jc w:val="both"/>
      </w:pPr>
      <w:r>
        <w:rPr>
          <w:rFonts w:ascii="Arial" w:cs="Arial" w:eastAsia="Arial" w:hAnsi="Arial"/>
          <w:b/>
          <w:bCs/>
          <w:color w:val="000000"/>
          <w:sz w:val="22"/>
          <w:szCs w:val="22"/>
        </w:rPr>
        <w:t xml:space="preserve">Estructura:</w:t>
      </w:r>
    </w:p>
    <w:p>
      <w:pPr>
        <w:pStyle w:val="ListParagraph"/>
        <w:numPr>
          <w:ilvl w:val="0"/>
          <w:numId w:val="3"/>
        </w:numPr>
        <w:spacing w:after="80"/>
      </w:pPr>
      <w:r>
        <w:rPr>
          <w:rFonts w:ascii="Arial" w:cs="Arial" w:eastAsia="Arial" w:hAnsi="Arial"/>
          <w:sz w:val="22"/>
          <w:szCs w:val="22"/>
        </w:rPr>
        <w:t xml:space="preserve">APERTURA: 'Voy a ser directo/a. Cada semana hablo con personas en tu situación y casi siempre aparecen las mismas tres dudas.'</w:t>
      </w:r>
    </w:p>
    <w:p>
      <w:pPr>
        <w:pStyle w:val="ListParagraph"/>
        <w:numPr>
          <w:ilvl w:val="0"/>
          <w:numId w:val="3"/>
        </w:numPr>
        <w:spacing w:after="80"/>
      </w:pPr>
      <w:r>
        <w:rPr>
          <w:rFonts w:ascii="Arial" w:cs="Arial" w:eastAsia="Arial" w:hAnsi="Arial"/>
          <w:sz w:val="22"/>
          <w:szCs w:val="22"/>
        </w:rPr>
        <w:t xml:space="preserve">CUERPO: Objeción 1: 'Prefiero arreglarlo sin abogados' → respuesta honesta: a veces es posible, pero conviene saber tus derechos antes de negociar. Objeción 2: 'Es demasiado caro' → respuesta: la primera consulta tiene precio fijo [X €]; el coste del error jurídico puede ser mayor. [Supuesto a validar por JC: honorarios medios]. Objeción 3: 'Dañaré a mi hijo si voy al juzgado' → respuesta: la jurisdicción voluntaria del art. 156 CC no es un contencioso; está diseñada para esto.</w:t>
      </w:r>
    </w:p>
    <w:p>
      <w:pPr>
        <w:pStyle w:val="ListParagraph"/>
        <w:numPr>
          <w:ilvl w:val="0"/>
          <w:numId w:val="3"/>
        </w:numPr>
        <w:spacing w:after="80"/>
      </w:pPr>
      <w:r>
        <w:rPr>
          <w:rFonts w:ascii="Arial" w:cs="Arial" w:eastAsia="Arial" w:hAnsi="Arial"/>
          <w:sz w:val="22"/>
          <w:szCs w:val="22"/>
        </w:rPr>
        <w:t xml:space="preserve">CTA: 'Si todavía tienes dudas, escríbeme directamente respondiendo a este email. Lo leeré yo.' (respuesta directa, no automática)</w:t>
      </w:r>
    </w:p>
    <w:p>
      <w:pPr>
        <w:spacing w:after="120"/>
      </w:pPr>
      <w:r>
        <w:t xml:space="preserve"/>
      </w:r>
    </w:p>
    <w:p>
      <w:pPr>
        <w:pStyle w:val="Heading3"/>
        <w:spacing w:after="80" w:before="200"/>
      </w:pPr>
      <w:r>
        <w:rPr>
          <w:rFonts w:ascii="Arial" w:cs="Arial" w:eastAsia="Arial" w:hAnsi="Arial"/>
          <w:b/>
          <w:bCs/>
          <w:color w:val="C55A11"/>
          <w:sz w:val="24"/>
          <w:szCs w:val="24"/>
        </w:rPr>
        <w:t xml:space="preserve">Email 5 — Día 14</w:t>
      </w:r>
    </w:p>
    <w:p>
      <w:pPr>
        <w:spacing w:after="120"/>
        <w:jc w:val="both"/>
      </w:pPr>
      <w:r>
        <w:rPr>
          <w:rFonts w:ascii="Arial" w:cs="Arial" w:eastAsia="Arial" w:hAnsi="Arial"/>
          <w:b/>
          <w:bCs/>
          <w:sz w:val="22"/>
          <w:szCs w:val="22"/>
        </w:rPr>
        <w:t xml:space="preserve">Asunto: </w:t>
      </w:r>
      <w:r>
        <w:rPr>
          <w:rFonts w:ascii="Arial" w:cs="Arial" w:eastAsia="Arial" w:hAnsi="Arial"/>
          <w:sz w:val="22"/>
          <w:szCs w:val="22"/>
        </w:rPr>
        <w:t xml:space="preserve">Última llamada (literal y figurada)</w:t>
      </w:r>
    </w:p>
    <w:p>
      <w:pPr>
        <w:spacing w:after="120"/>
        <w:jc w:val="both"/>
      </w:pPr>
      <w:r>
        <w:rPr>
          <w:rFonts w:ascii="Arial" w:cs="Arial" w:eastAsia="Arial" w:hAnsi="Arial"/>
          <w:b/>
          <w:bCs/>
          <w:sz w:val="22"/>
          <w:szCs w:val="22"/>
        </w:rPr>
        <w:t xml:space="preserve">Objetivo: </w:t>
      </w:r>
      <w:r>
        <w:rPr>
          <w:rFonts w:ascii="Arial" w:cs="Arial" w:eastAsia="Arial" w:hAnsi="Arial"/>
          <w:sz w:val="22"/>
          <w:szCs w:val="22"/>
        </w:rPr>
        <w:t xml:space="preserve">CTA final de la secuencia. Generar urgencia real (no artificial) y cerrar el ciclo de nurturing.</w:t>
      </w:r>
    </w:p>
    <w:p>
      <w:pPr>
        <w:spacing w:after="120"/>
        <w:jc w:val="both"/>
      </w:pPr>
      <w:r>
        <w:rPr>
          <w:rFonts w:ascii="Arial" w:cs="Arial" w:eastAsia="Arial" w:hAnsi="Arial"/>
          <w:b/>
          <w:bCs/>
          <w:color w:val="000000"/>
          <w:sz w:val="22"/>
          <w:szCs w:val="22"/>
        </w:rPr>
        <w:t xml:space="preserve">Estructura:</w:t>
      </w:r>
    </w:p>
    <w:p>
      <w:pPr>
        <w:pStyle w:val="ListParagraph"/>
        <w:numPr>
          <w:ilvl w:val="0"/>
          <w:numId w:val="3"/>
        </w:numPr>
        <w:spacing w:after="80"/>
      </w:pPr>
      <w:r>
        <w:rPr>
          <w:rFonts w:ascii="Arial" w:cs="Arial" w:eastAsia="Arial" w:hAnsi="Arial"/>
          <w:sz w:val="22"/>
          <w:szCs w:val="22"/>
        </w:rPr>
        <w:t xml:space="preserve">APERTURA: 'Este es el último email de esta serie. A partir de ahora solo recibirás contenido puntual cuando publique algo relevante sobre estos temas.'</w:t>
      </w:r>
    </w:p>
    <w:p>
      <w:pPr>
        <w:pStyle w:val="ListParagraph"/>
        <w:numPr>
          <w:ilvl w:val="0"/>
          <w:numId w:val="3"/>
        </w:numPr>
        <w:spacing w:after="80"/>
      </w:pPr>
      <w:r>
        <w:rPr>
          <w:rFonts w:ascii="Arial" w:cs="Arial" w:eastAsia="Arial" w:hAnsi="Arial"/>
          <w:sz w:val="22"/>
          <w:szCs w:val="22"/>
        </w:rPr>
        <w:t xml:space="preserve">CUERPO: Recapitulación en 3 líneas de lo que has compartido. Una reflexión breve: 'Los conflictos que no se abordan en las primeras semanas suelen escalar. No porque el derecho cambie, sino porque las posiciones se endurecen y los plazos se acortan.'</w:t>
      </w:r>
    </w:p>
    <w:p>
      <w:pPr>
        <w:pStyle w:val="ListParagraph"/>
        <w:numPr>
          <w:ilvl w:val="0"/>
          <w:numId w:val="3"/>
        </w:numPr>
        <w:spacing w:after="80"/>
      </w:pPr>
      <w:r>
        <w:rPr>
          <w:rFonts w:ascii="Arial" w:cs="Arial" w:eastAsia="Arial" w:hAnsi="Arial"/>
          <w:sz w:val="22"/>
          <w:szCs w:val="22"/>
        </w:rPr>
        <w:t xml:space="preserve">SEGUNDO LEAD MAGNET: Enlace al checklist de urgencia (Opción B) si no se ofreció antes.</w:t>
      </w:r>
    </w:p>
    <w:p>
      <w:pPr>
        <w:pStyle w:val="ListParagraph"/>
        <w:numPr>
          <w:ilvl w:val="0"/>
          <w:numId w:val="3"/>
        </w:numPr>
        <w:spacing w:after="80"/>
      </w:pPr>
      <w:r>
        <w:rPr>
          <w:rFonts w:ascii="Arial" w:cs="Arial" w:eastAsia="Arial" w:hAnsi="Arial"/>
          <w:sz w:val="22"/>
          <w:szCs w:val="22"/>
        </w:rPr>
        <w:t xml:space="preserve">CTA: 'Si quieres que revise tu situación, esta semana tengo [X] huecos de 15 minutos. [Reservar ahora]'. Nota final: 'Si tu situación ha cambiado y ya no necesitas ayuda, me alegro por ti. Puedes darte de baja en el enlace de abajo.'</w:t>
      </w:r>
    </w:p>
    <w:p>
      <w:pPr>
        <w:spacing w:after="120"/>
      </w:pPr>
      <w:r>
        <w:t xml:space="preserve"/>
      </w:r>
    </w:p>
    <w:p>
      <w:pPr>
        <w:pStyle w:val="Heading2"/>
        <w:spacing w:after="120" w:before="280"/>
      </w:pPr>
      <w:r>
        <w:rPr>
          <w:rFonts w:ascii="Arial" w:cs="Arial" w:eastAsia="Arial" w:hAnsi="Arial"/>
          <w:b/>
          <w:bCs/>
          <w:color w:val="2E75B6"/>
          <w:sz w:val="28"/>
          <w:szCs w:val="28"/>
        </w:rPr>
        <w:t xml:space="preserve">4.4 Script de llamada inicial (15 minutos)</w:t>
      </w:r>
    </w:p>
    <w:tbl>
      <w:tblPr>
        <w:tblW w:type="dxa" w:w="9800"/>
        <w:tblBorders>
          <w:top w:val="single" w:color="auto" w:sz="4"/>
          <w:left w:val="single" w:color="auto" w:sz="4"/>
          <w:bottom w:val="single" w:color="auto" w:sz="4"/>
          <w:right w:val="single" w:color="auto" w:sz="4"/>
          <w:insideH w:val="single" w:color="auto" w:sz="4"/>
          <w:insideV w:val="single" w:color="auto" w:sz="4"/>
        </w:tblBorders>
      </w:tblPr>
      <w:tblGrid>
        <w:gridCol w:w="2200"/>
        <w:gridCol w:w="7600"/>
      </w:tblGrid>
      <w:tr>
        <w:trPr>
          <w:tblHeader/>
        </w:trPr>
        <w:tc>
          <w:tcPr>
            <w:tcW w:type="dxa" w:w="2200"/>
            <w:tcBorders>
              <w:top w:val="single" w:color="AAAAAA" w:sz="1"/>
              <w:left w:val="single" w:color="AAAAAA" w:sz="1"/>
              <w:bottom w:val="single" w:color="AAAAAA" w:sz="1"/>
              <w:right w:val="single" w:color="AAAAAA" w:sz="1"/>
            </w:tcBorders>
            <w:shd w:fill="1F4E79" w:val="clear"/>
            <w:tcMar>
              <w:top w:type="dxa" w:w="80"/>
              <w:left w:type="dxa" w:w="120"/>
              <w:bottom w:type="dxa" w:w="80"/>
              <w:right w:type="dxa" w:w="120"/>
            </w:tcMar>
            <w:vAlign w:val="center"/>
          </w:tcPr>
          <w:p>
            <w:pPr>
              <w:jc w:val="center"/>
            </w:pPr>
            <w:r>
              <w:rPr>
                <w:rFonts w:ascii="Arial" w:cs="Arial" w:eastAsia="Arial" w:hAnsi="Arial"/>
                <w:b/>
                <w:bCs/>
                <w:color w:val="FFFFFF"/>
                <w:sz w:val="20"/>
                <w:szCs w:val="20"/>
              </w:rPr>
              <w:t xml:space="preserve">Fase (min)</w:t>
            </w:r>
          </w:p>
        </w:tc>
        <w:tc>
          <w:tcPr>
            <w:tcW w:type="dxa" w:w="7600"/>
            <w:tcBorders>
              <w:top w:val="single" w:color="AAAAAA" w:sz="1"/>
              <w:left w:val="single" w:color="AAAAAA" w:sz="1"/>
              <w:bottom w:val="single" w:color="AAAAAA" w:sz="1"/>
              <w:right w:val="single" w:color="AAAAAA" w:sz="1"/>
            </w:tcBorders>
            <w:shd w:fill="1F4E79" w:val="clear"/>
            <w:tcMar>
              <w:top w:type="dxa" w:w="80"/>
              <w:left w:type="dxa" w:w="120"/>
              <w:bottom w:type="dxa" w:w="80"/>
              <w:right w:type="dxa" w:w="120"/>
            </w:tcMar>
            <w:vAlign w:val="center"/>
          </w:tcPr>
          <w:p>
            <w:pPr>
              <w:jc w:val="center"/>
            </w:pPr>
            <w:r>
              <w:rPr>
                <w:rFonts w:ascii="Arial" w:cs="Arial" w:eastAsia="Arial" w:hAnsi="Arial"/>
                <w:b/>
                <w:bCs/>
                <w:color w:val="FFFFFF"/>
                <w:sz w:val="20"/>
                <w:szCs w:val="20"/>
              </w:rPr>
              <w:t xml:space="preserve">Contenido</w:t>
            </w:r>
          </w:p>
        </w:tc>
      </w:tr>
      <w:tr>
        <w:tc>
          <w:tcPr>
            <w:tcW w:type="dxa" w:w="220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tcPr>
          <w:p>
            <w:r>
              <w:rPr>
                <w:rFonts w:ascii="Arial" w:cs="Arial" w:eastAsia="Arial" w:hAnsi="Arial"/>
                <w:sz w:val="20"/>
                <w:szCs w:val="20"/>
              </w:rPr>
              <w:t xml:space="preserve">0-2: Apertura</w:t>
            </w:r>
          </w:p>
        </w:tc>
        <w:tc>
          <w:tcPr>
            <w:tcW w:type="dxa" w:w="760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tcPr>
          <w:p>
            <w:r>
              <w:rPr>
                <w:rFonts w:ascii="Arial" w:cs="Arial" w:eastAsia="Arial" w:hAnsi="Arial"/>
                <w:sz w:val="20"/>
                <w:szCs w:val="20"/>
              </w:rPr>
              <w:t xml:space="preserve">Presentación breve. 'Gracias por llamar / haber reservado. Tengo 15 minutos para entender tu situación y decirte si puedo ayudarte y cómo. ¿Te parece bien si te hago unas preguntas rápidas primero?' — Tono: tranquilo, profesional, sin urgencia.</w:t>
            </w:r>
          </w:p>
        </w:tc>
      </w:tr>
      <w:tr>
        <w:tc>
          <w:tcPr>
            <w:tcW w:type="dxa" w:w="2200"/>
            <w:tcBorders>
              <w:top w:val="single" w:color="AAAAAA" w:sz="1"/>
              <w:left w:val="single" w:color="AAAAAA" w:sz="1"/>
              <w:bottom w:val="single" w:color="AAAAAA" w:sz="1"/>
              <w:right w:val="single" w:color="AAAAAA" w:sz="1"/>
            </w:tcBorders>
            <w:shd w:fill="F0F4FA" w:val="clear"/>
            <w:tcMar>
              <w:top w:type="dxa" w:w="80"/>
              <w:left w:type="dxa" w:w="120"/>
              <w:bottom w:type="dxa" w:w="80"/>
              <w:right w:type="dxa" w:w="120"/>
            </w:tcMar>
          </w:tcPr>
          <w:p>
            <w:r>
              <w:rPr>
                <w:rFonts w:ascii="Arial" w:cs="Arial" w:eastAsia="Arial" w:hAnsi="Arial"/>
                <w:sz w:val="20"/>
                <w:szCs w:val="20"/>
              </w:rPr>
              <w:t xml:space="preserve">2-7: Cualificación</w:t>
            </w:r>
          </w:p>
        </w:tc>
        <w:tc>
          <w:tcPr>
            <w:tcW w:type="dxa" w:w="7600"/>
            <w:tcBorders>
              <w:top w:val="single" w:color="AAAAAA" w:sz="1"/>
              <w:left w:val="single" w:color="AAAAAA" w:sz="1"/>
              <w:bottom w:val="single" w:color="AAAAAA" w:sz="1"/>
              <w:right w:val="single" w:color="AAAAAA" w:sz="1"/>
            </w:tcBorders>
            <w:shd w:fill="F0F4FA" w:val="clear"/>
            <w:tcMar>
              <w:top w:type="dxa" w:w="80"/>
              <w:left w:type="dxa" w:w="120"/>
              <w:bottom w:type="dxa" w:w="80"/>
              <w:right w:type="dxa" w:w="120"/>
            </w:tcMar>
          </w:tcPr>
          <w:p>
            <w:r>
              <w:rPr>
                <w:rFonts w:ascii="Arial" w:cs="Arial" w:eastAsia="Arial" w:hAnsi="Arial"/>
                <w:sz w:val="20"/>
                <w:szCs w:val="20"/>
              </w:rPr>
              <w:t xml:space="preserve">P1: '¿Puedes contarme en dos minutos qué ha pasado y en qué momento estás?' · P2: '¿Hay algún plazo o fecha próxima que te preocupe?' (P. ej.: fecha de la comunión, plazo de respuesta a burofax) · P3: '¿El otro progenitor ya ha contactado a un abogado o has recibido comunicación formal?' · P4: '¿Hay procedimiento judicial abierto actualmente (divorcio, modificación de medidas)?' — Escuchar. No interrumpir. Tomar notas.</w:t>
            </w:r>
          </w:p>
        </w:tc>
      </w:tr>
      <w:tr>
        <w:tc>
          <w:tcPr>
            <w:tcW w:type="dxa" w:w="220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tcPr>
          <w:p>
            <w:r>
              <w:rPr>
                <w:rFonts w:ascii="Arial" w:cs="Arial" w:eastAsia="Arial" w:hAnsi="Arial"/>
                <w:sz w:val="20"/>
                <w:szCs w:val="20"/>
              </w:rPr>
              <w:t xml:space="preserve">7-11: Encuadre del encargo</w:t>
            </w:r>
          </w:p>
        </w:tc>
        <w:tc>
          <w:tcPr>
            <w:tcW w:type="dxa" w:w="760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tcPr>
          <w:p>
            <w:r>
              <w:rPr>
                <w:rFonts w:ascii="Arial" w:cs="Arial" w:eastAsia="Arial" w:hAnsi="Arial"/>
                <w:sz w:val="20"/>
                <w:szCs w:val="20"/>
              </w:rPr>
              <w:t xml:space="preserve">'Basándome en lo que me cuentas, tu situación encaja en el escenario [A/B/C] del que te hablaba en los emails. Lo que haría en tu caso sería [describir brevemente la vía]. El primer paso concreto sería [acción específica].' — No dar consejo jurídico desarrollado en la llamada; reservarlo para la consulta formal.</w:t>
            </w:r>
          </w:p>
        </w:tc>
      </w:tr>
      <w:tr>
        <w:tc>
          <w:tcPr>
            <w:tcW w:type="dxa" w:w="2200"/>
            <w:tcBorders>
              <w:top w:val="single" w:color="AAAAAA" w:sz="1"/>
              <w:left w:val="single" w:color="AAAAAA" w:sz="1"/>
              <w:bottom w:val="single" w:color="AAAAAA" w:sz="1"/>
              <w:right w:val="single" w:color="AAAAAA" w:sz="1"/>
            </w:tcBorders>
            <w:shd w:fill="F0F4FA" w:val="clear"/>
            <w:tcMar>
              <w:top w:type="dxa" w:w="80"/>
              <w:left w:type="dxa" w:w="120"/>
              <w:bottom w:type="dxa" w:w="80"/>
              <w:right w:type="dxa" w:w="120"/>
            </w:tcMar>
          </w:tcPr>
          <w:p>
            <w:r>
              <w:rPr>
                <w:rFonts w:ascii="Arial" w:cs="Arial" w:eastAsia="Arial" w:hAnsi="Arial"/>
                <w:sz w:val="20"/>
                <w:szCs w:val="20"/>
              </w:rPr>
              <w:t xml:space="preserve">11-14: Honorarios y siguiente paso</w:t>
            </w:r>
          </w:p>
        </w:tc>
        <w:tc>
          <w:tcPr>
            <w:tcW w:type="dxa" w:w="7600"/>
            <w:tcBorders>
              <w:top w:val="single" w:color="AAAAAA" w:sz="1"/>
              <w:left w:val="single" w:color="AAAAAA" w:sz="1"/>
              <w:bottom w:val="single" w:color="AAAAAA" w:sz="1"/>
              <w:right w:val="single" w:color="AAAAAA" w:sz="1"/>
            </w:tcBorders>
            <w:shd w:fill="F0F4FA" w:val="clear"/>
            <w:tcMar>
              <w:top w:type="dxa" w:w="80"/>
              <w:left w:type="dxa" w:w="120"/>
              <w:bottom w:type="dxa" w:w="80"/>
              <w:right w:type="dxa" w:w="120"/>
            </w:tcMar>
          </w:tcPr>
          <w:p>
            <w:r>
              <w:rPr>
                <w:rFonts w:ascii="Arial" w:cs="Arial" w:eastAsia="Arial" w:hAnsi="Arial"/>
                <w:sz w:val="20"/>
                <w:szCs w:val="20"/>
              </w:rPr>
              <w:t xml:space="preserve">'Para que tengas toda la información: una primera consulta de 45-60 minutos tiene un precio de [X €]. [Supuesto a validar por JC]. En ella te haré un análisis completo de tu caso y un plan de acción con opciones y costes. Si decides seguir adelante, ese importe se descuenta de los honorarios del encargo.' — Preguntar: '¿Tienes alguna duda sobre esto antes de que lo agende?'</w:t>
            </w:r>
          </w:p>
        </w:tc>
      </w:tr>
      <w:tr>
        <w:tc>
          <w:tcPr>
            <w:tcW w:type="dxa" w:w="220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tcPr>
          <w:p>
            <w:r>
              <w:rPr>
                <w:rFonts w:ascii="Arial" w:cs="Arial" w:eastAsia="Arial" w:hAnsi="Arial"/>
                <w:sz w:val="20"/>
                <w:szCs w:val="20"/>
              </w:rPr>
              <w:t xml:space="preserve">14-15: Cierre</w:t>
            </w:r>
          </w:p>
        </w:tc>
        <w:tc>
          <w:tcPr>
            <w:tcW w:type="dxa" w:w="760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tcPr>
          <w:p>
            <w:r>
              <w:rPr>
                <w:rFonts w:ascii="Arial" w:cs="Arial" w:eastAsia="Arial" w:hAnsi="Arial"/>
                <w:sz w:val="20"/>
                <w:szCs w:val="20"/>
              </w:rPr>
              <w:t xml:space="preserve">'Perfecto. Te mando confirmación por email con la fecha y un pequeño formulario para que me adelantes 3-4 datos del caso. Eso nos permite aprovechar mejor la consulta.' — Si NO cierra: '¿Hay algo que te impide decidirte ahora mismo?' Escuchar. No presionar. 'No hay problema, si tienes dudas puedes responder al email que te mandé o escribirme directamente.'</w:t>
            </w:r>
          </w:p>
        </w:tc>
      </w:tr>
    </w:tbl>
    <w:p>
      <w:pPr>
        <w:spacing w:after="120"/>
      </w:pPr>
      <w:r>
        <w:t xml:space="preserve"/>
      </w:r>
    </w:p>
    <w:p>
      <w:pPr>
        <w:pStyle w:val="Heading2"/>
        <w:spacing w:after="120" w:before="280"/>
      </w:pPr>
      <w:r>
        <w:rPr>
          <w:rFonts w:ascii="Arial" w:cs="Arial" w:eastAsia="Arial" w:hAnsi="Arial"/>
          <w:b/>
          <w:bCs/>
          <w:color w:val="2E75B6"/>
          <w:sz w:val="28"/>
          <w:szCs w:val="28"/>
        </w:rPr>
        <w:t xml:space="preserve">4.5 Criterios GO / NO-GO</w:t>
      </w:r>
    </w:p>
    <w:tbl>
      <w:tblPr>
        <w:tblW w:type="dxa" w:w="9800"/>
        <w:tblBorders>
          <w:top w:val="single" w:color="auto" w:sz="4"/>
          <w:left w:val="single" w:color="auto" w:sz="4"/>
          <w:bottom w:val="single" w:color="auto" w:sz="4"/>
          <w:right w:val="single" w:color="auto" w:sz="4"/>
          <w:insideH w:val="single" w:color="auto" w:sz="4"/>
          <w:insideV w:val="single" w:color="auto" w:sz="4"/>
        </w:tblBorders>
      </w:tblPr>
      <w:tblGrid>
        <w:gridCol w:w="2600"/>
        <w:gridCol w:w="3400"/>
        <w:gridCol w:w="3800"/>
      </w:tblGrid>
      <w:tr>
        <w:trPr>
          <w:tblHeader/>
        </w:trPr>
        <w:tc>
          <w:tcPr>
            <w:tcW w:type="dxa" w:w="2600"/>
            <w:tcBorders>
              <w:top w:val="single" w:color="AAAAAA" w:sz="1"/>
              <w:left w:val="single" w:color="AAAAAA" w:sz="1"/>
              <w:bottom w:val="single" w:color="AAAAAA" w:sz="1"/>
              <w:right w:val="single" w:color="AAAAAA" w:sz="1"/>
            </w:tcBorders>
            <w:shd w:fill="1F4E79" w:val="clear"/>
            <w:tcMar>
              <w:top w:type="dxa" w:w="80"/>
              <w:left w:type="dxa" w:w="120"/>
              <w:bottom w:type="dxa" w:w="80"/>
              <w:right w:type="dxa" w:w="120"/>
            </w:tcMar>
            <w:vAlign w:val="center"/>
          </w:tcPr>
          <w:p>
            <w:pPr>
              <w:jc w:val="center"/>
            </w:pPr>
            <w:r>
              <w:rPr>
                <w:rFonts w:ascii="Arial" w:cs="Arial" w:eastAsia="Arial" w:hAnsi="Arial"/>
                <w:b/>
                <w:bCs/>
                <w:color w:val="FFFFFF"/>
                <w:sz w:val="20"/>
                <w:szCs w:val="20"/>
              </w:rPr>
              <w:t xml:space="preserve">Criterio</w:t>
            </w:r>
          </w:p>
        </w:tc>
        <w:tc>
          <w:tcPr>
            <w:tcW w:type="dxa" w:w="3400"/>
            <w:tcBorders>
              <w:top w:val="single" w:color="AAAAAA" w:sz="1"/>
              <w:left w:val="single" w:color="AAAAAA" w:sz="1"/>
              <w:bottom w:val="single" w:color="AAAAAA" w:sz="1"/>
              <w:right w:val="single" w:color="AAAAAA" w:sz="1"/>
            </w:tcBorders>
            <w:shd w:fill="1F4E79" w:val="clear"/>
            <w:tcMar>
              <w:top w:type="dxa" w:w="80"/>
              <w:left w:type="dxa" w:w="120"/>
              <w:bottom w:type="dxa" w:w="80"/>
              <w:right w:type="dxa" w:w="120"/>
            </w:tcMar>
            <w:vAlign w:val="center"/>
          </w:tcPr>
          <w:p>
            <w:pPr>
              <w:jc w:val="center"/>
            </w:pPr>
            <w:r>
              <w:rPr>
                <w:rFonts w:ascii="Arial" w:cs="Arial" w:eastAsia="Arial" w:hAnsi="Arial"/>
                <w:b/>
                <w:bCs/>
                <w:color w:val="FFFFFF"/>
                <w:sz w:val="20"/>
                <w:szCs w:val="20"/>
              </w:rPr>
              <w:t xml:space="preserve">GO (aceptar el caso)</w:t>
            </w:r>
          </w:p>
        </w:tc>
        <w:tc>
          <w:tcPr>
            <w:tcW w:type="dxa" w:w="3800"/>
            <w:tcBorders>
              <w:top w:val="single" w:color="AAAAAA" w:sz="1"/>
              <w:left w:val="single" w:color="AAAAAA" w:sz="1"/>
              <w:bottom w:val="single" w:color="AAAAAA" w:sz="1"/>
              <w:right w:val="single" w:color="AAAAAA" w:sz="1"/>
            </w:tcBorders>
            <w:shd w:fill="1F4E79" w:val="clear"/>
            <w:tcMar>
              <w:top w:type="dxa" w:w="80"/>
              <w:left w:type="dxa" w:w="120"/>
              <w:bottom w:type="dxa" w:w="80"/>
              <w:right w:type="dxa" w:w="120"/>
            </w:tcMar>
            <w:vAlign w:val="center"/>
          </w:tcPr>
          <w:p>
            <w:pPr>
              <w:jc w:val="center"/>
            </w:pPr>
            <w:r>
              <w:rPr>
                <w:rFonts w:ascii="Arial" w:cs="Arial" w:eastAsia="Arial" w:hAnsi="Arial"/>
                <w:b/>
                <w:bCs/>
                <w:color w:val="FFFFFF"/>
                <w:sz w:val="20"/>
                <w:szCs w:val="20"/>
              </w:rPr>
              <w:t xml:space="preserve">NO-GO (declinar o derivar)</w:t>
            </w:r>
          </w:p>
        </w:tc>
      </w:tr>
      <w:tr>
        <w:tc>
          <w:tcPr>
            <w:tcW w:type="dxa" w:w="260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tcPr>
          <w:p>
            <w:r>
              <w:rPr>
                <w:rFonts w:ascii="Arial" w:cs="Arial" w:eastAsia="Arial" w:hAnsi="Arial"/>
                <w:sz w:val="20"/>
                <w:szCs w:val="20"/>
              </w:rPr>
              <w:t xml:space="preserve">Materia</w:t>
            </w:r>
          </w:p>
        </w:tc>
        <w:tc>
          <w:tcPr>
            <w:tcW w:type="dxa" w:w="340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tcPr>
          <w:p>
            <w:r>
              <w:rPr>
                <w:rFonts w:ascii="Arial" w:cs="Arial" w:eastAsia="Arial" w:hAnsi="Arial"/>
                <w:sz w:val="20"/>
                <w:szCs w:val="20"/>
              </w:rPr>
              <w:t xml:space="preserve">Conflicto sobre formación religiosa, sacramentos, educación en valores del menor, con patria potestad conjunta implicada</w:t>
            </w:r>
          </w:p>
        </w:tc>
        <w:tc>
          <w:tcPr>
            <w:tcW w:type="dxa" w:w="380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tcPr>
          <w:p>
            <w:r>
              <w:rPr>
                <w:rFonts w:ascii="Arial" w:cs="Arial" w:eastAsia="Arial" w:hAnsi="Arial"/>
                <w:sz w:val="20"/>
                <w:szCs w:val="20"/>
              </w:rPr>
              <w:t xml:space="preserve">Asuntos de custodia exclusivamente económicos, derecho penal, extranjería u otras materias no relacionadas con la especialización</w:t>
            </w:r>
          </w:p>
        </w:tc>
      </w:tr>
      <w:tr>
        <w:tc>
          <w:tcPr>
            <w:tcW w:type="dxa" w:w="2600"/>
            <w:tcBorders>
              <w:top w:val="single" w:color="AAAAAA" w:sz="1"/>
              <w:left w:val="single" w:color="AAAAAA" w:sz="1"/>
              <w:bottom w:val="single" w:color="AAAAAA" w:sz="1"/>
              <w:right w:val="single" w:color="AAAAAA" w:sz="1"/>
            </w:tcBorders>
            <w:shd w:fill="F0F4FA" w:val="clear"/>
            <w:tcMar>
              <w:top w:type="dxa" w:w="80"/>
              <w:left w:type="dxa" w:w="120"/>
              <w:bottom w:type="dxa" w:w="80"/>
              <w:right w:type="dxa" w:w="120"/>
            </w:tcMar>
          </w:tcPr>
          <w:p>
            <w:r>
              <w:rPr>
                <w:rFonts w:ascii="Arial" w:cs="Arial" w:eastAsia="Arial" w:hAnsi="Arial"/>
                <w:sz w:val="20"/>
                <w:szCs w:val="20"/>
              </w:rPr>
              <w:t xml:space="preserve">Urgencia real</w:t>
            </w:r>
          </w:p>
        </w:tc>
        <w:tc>
          <w:tcPr>
            <w:tcW w:type="dxa" w:w="3400"/>
            <w:tcBorders>
              <w:top w:val="single" w:color="AAAAAA" w:sz="1"/>
              <w:left w:val="single" w:color="AAAAAA" w:sz="1"/>
              <w:bottom w:val="single" w:color="AAAAAA" w:sz="1"/>
              <w:right w:val="single" w:color="AAAAAA" w:sz="1"/>
            </w:tcBorders>
            <w:shd w:fill="F0F4FA" w:val="clear"/>
            <w:tcMar>
              <w:top w:type="dxa" w:w="80"/>
              <w:left w:type="dxa" w:w="120"/>
              <w:bottom w:type="dxa" w:w="80"/>
              <w:right w:type="dxa" w:w="120"/>
            </w:tcMar>
          </w:tcPr>
          <w:p>
            <w:r>
              <w:rPr>
                <w:rFonts w:ascii="Arial" w:cs="Arial" w:eastAsia="Arial" w:hAnsi="Arial"/>
                <w:sz w:val="20"/>
                <w:szCs w:val="20"/>
              </w:rPr>
              <w:t xml:space="preserve">Hay plazo de respuesta a burofax (10 días), fecha de sacramento próxima, o riesgo de acto irreversible inminente</w:t>
            </w:r>
          </w:p>
        </w:tc>
        <w:tc>
          <w:tcPr>
            <w:tcW w:type="dxa" w:w="3800"/>
            <w:tcBorders>
              <w:top w:val="single" w:color="AAAAAA" w:sz="1"/>
              <w:left w:val="single" w:color="AAAAAA" w:sz="1"/>
              <w:bottom w:val="single" w:color="AAAAAA" w:sz="1"/>
              <w:right w:val="single" w:color="AAAAAA" w:sz="1"/>
            </w:tcBorders>
            <w:shd w:fill="F0F4FA" w:val="clear"/>
            <w:tcMar>
              <w:top w:type="dxa" w:w="80"/>
              <w:left w:type="dxa" w:w="120"/>
              <w:bottom w:type="dxa" w:w="80"/>
              <w:right w:type="dxa" w:w="120"/>
            </w:tcMar>
          </w:tcPr>
          <w:p>
            <w:r>
              <w:rPr>
                <w:rFonts w:ascii="Arial" w:cs="Arial" w:eastAsia="Arial" w:hAnsi="Arial"/>
                <w:sz w:val="20"/>
                <w:szCs w:val="20"/>
              </w:rPr>
              <w:t xml:space="preserve">Situación enquistada sin urgencia y sin voluntad de resolver: persona que solo quiere desahogarse sin encargar actuación</w:t>
            </w:r>
          </w:p>
        </w:tc>
      </w:tr>
      <w:tr>
        <w:tc>
          <w:tcPr>
            <w:tcW w:type="dxa" w:w="260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tcPr>
          <w:p>
            <w:r>
              <w:rPr>
                <w:rFonts w:ascii="Arial" w:cs="Arial" w:eastAsia="Arial" w:hAnsi="Arial"/>
                <w:sz w:val="20"/>
                <w:szCs w:val="20"/>
              </w:rPr>
              <w:t xml:space="preserve">Colaboración del cliente</w:t>
            </w:r>
          </w:p>
        </w:tc>
        <w:tc>
          <w:tcPr>
            <w:tcW w:type="dxa" w:w="340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tcPr>
          <w:p>
            <w:r>
              <w:rPr>
                <w:rFonts w:ascii="Arial" w:cs="Arial" w:eastAsia="Arial" w:hAnsi="Arial"/>
                <w:sz w:val="20"/>
                <w:szCs w:val="20"/>
              </w:rPr>
              <w:t xml:space="preserve">Cliente dispuesto a aportar documentación, ser honesto sobre su posición (incluyendo sus propias actuaciones previas) y seguir el consejo jurídico</w:t>
            </w:r>
          </w:p>
        </w:tc>
        <w:tc>
          <w:tcPr>
            <w:tcW w:type="dxa" w:w="380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tcPr>
          <w:p>
            <w:r>
              <w:rPr>
                <w:rFonts w:ascii="Arial" w:cs="Arial" w:eastAsia="Arial" w:hAnsi="Arial"/>
                <w:sz w:val="20"/>
                <w:szCs w:val="20"/>
              </w:rPr>
              <w:t xml:space="preserve">Cliente que oculta información relevante, pretende actuar unilateralmente ignorando el consejo, o busca un abogado que le dé la razón sin análisis</w:t>
            </w:r>
          </w:p>
        </w:tc>
      </w:tr>
      <w:tr>
        <w:tc>
          <w:tcPr>
            <w:tcW w:type="dxa" w:w="2600"/>
            <w:tcBorders>
              <w:top w:val="single" w:color="AAAAAA" w:sz="1"/>
              <w:left w:val="single" w:color="AAAAAA" w:sz="1"/>
              <w:bottom w:val="single" w:color="AAAAAA" w:sz="1"/>
              <w:right w:val="single" w:color="AAAAAA" w:sz="1"/>
            </w:tcBorders>
            <w:shd w:fill="F0F4FA" w:val="clear"/>
            <w:tcMar>
              <w:top w:type="dxa" w:w="80"/>
              <w:left w:type="dxa" w:w="120"/>
              <w:bottom w:type="dxa" w:w="80"/>
              <w:right w:type="dxa" w:w="120"/>
            </w:tcMar>
          </w:tcPr>
          <w:p>
            <w:r>
              <w:rPr>
                <w:rFonts w:ascii="Arial" w:cs="Arial" w:eastAsia="Arial" w:hAnsi="Arial"/>
                <w:sz w:val="20"/>
                <w:szCs w:val="20"/>
              </w:rPr>
              <w:t xml:space="preserve">Viabilidad jurídica mínima</w:t>
            </w:r>
          </w:p>
        </w:tc>
        <w:tc>
          <w:tcPr>
            <w:tcW w:type="dxa" w:w="3400"/>
            <w:tcBorders>
              <w:top w:val="single" w:color="AAAAAA" w:sz="1"/>
              <w:left w:val="single" w:color="AAAAAA" w:sz="1"/>
              <w:bottom w:val="single" w:color="AAAAAA" w:sz="1"/>
              <w:right w:val="single" w:color="AAAAAA" w:sz="1"/>
            </w:tcBorders>
            <w:shd w:fill="F0F4FA" w:val="clear"/>
            <w:tcMar>
              <w:top w:type="dxa" w:w="80"/>
              <w:left w:type="dxa" w:w="120"/>
              <w:bottom w:type="dxa" w:w="80"/>
              <w:right w:type="dxa" w:w="120"/>
            </w:tcMar>
          </w:tcPr>
          <w:p>
            <w:r>
              <w:rPr>
                <w:rFonts w:ascii="Arial" w:cs="Arial" w:eastAsia="Arial" w:hAnsi="Arial"/>
                <w:sz w:val="20"/>
                <w:szCs w:val="20"/>
              </w:rPr>
              <w:t xml:space="preserve">Existe base jurídica para al menos una de las 4 vías del mapa de escenarios</w:t>
            </w:r>
          </w:p>
        </w:tc>
        <w:tc>
          <w:tcPr>
            <w:tcW w:type="dxa" w:w="3800"/>
            <w:tcBorders>
              <w:top w:val="single" w:color="AAAAAA" w:sz="1"/>
              <w:left w:val="single" w:color="AAAAAA" w:sz="1"/>
              <w:bottom w:val="single" w:color="AAAAAA" w:sz="1"/>
              <w:right w:val="single" w:color="AAAAAA" w:sz="1"/>
            </w:tcBorders>
            <w:shd w:fill="F0F4FA" w:val="clear"/>
            <w:tcMar>
              <w:top w:type="dxa" w:w="80"/>
              <w:left w:type="dxa" w:w="120"/>
              <w:bottom w:type="dxa" w:w="80"/>
              <w:right w:type="dxa" w:w="120"/>
            </w:tcMar>
          </w:tcPr>
          <w:p>
            <w:r>
              <w:rPr>
                <w:rFonts w:ascii="Arial" w:cs="Arial" w:eastAsia="Arial" w:hAnsi="Arial"/>
                <w:sz w:val="20"/>
                <w:szCs w:val="20"/>
              </w:rPr>
              <w:t xml:space="preserve">Caso en que la posición del cliente no tiene amparo en ninguna de las vías (p. ej.: pretende privar al otro progenitor de su derecho sin fundamento)</w:t>
            </w:r>
          </w:p>
        </w:tc>
      </w:tr>
      <w:tr>
        <w:tc>
          <w:tcPr>
            <w:tcW w:type="dxa" w:w="260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tcPr>
          <w:p>
            <w:r>
              <w:rPr>
                <w:rFonts w:ascii="Arial" w:cs="Arial" w:eastAsia="Arial" w:hAnsi="Arial"/>
                <w:sz w:val="20"/>
                <w:szCs w:val="20"/>
              </w:rPr>
              <w:t xml:space="preserve">Compatibilidad deontológica</w:t>
            </w:r>
          </w:p>
        </w:tc>
        <w:tc>
          <w:tcPr>
            <w:tcW w:type="dxa" w:w="340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tcPr>
          <w:p>
            <w:r>
              <w:rPr>
                <w:rFonts w:ascii="Arial" w:cs="Arial" w:eastAsia="Arial" w:hAnsi="Arial"/>
                <w:sz w:val="20"/>
                <w:szCs w:val="20"/>
              </w:rPr>
              <w:t xml:space="preserve">No hay conflicto de intereses; el otro progenitor no es cliente del despacho; no hay situación de captación indebida</w:t>
            </w:r>
          </w:p>
        </w:tc>
        <w:tc>
          <w:tcPr>
            <w:tcW w:type="dxa" w:w="380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tcPr>
          <w:p>
            <w:r>
              <w:rPr>
                <w:rFonts w:ascii="Arial" w:cs="Arial" w:eastAsia="Arial" w:hAnsi="Arial"/>
                <w:sz w:val="20"/>
                <w:szCs w:val="20"/>
              </w:rPr>
              <w:t xml:space="preserve">El otro progenitor ha acreditado tener representación letrada y el contacto se produciría directamente con él/ella</w:t>
            </w:r>
          </w:p>
        </w:tc>
      </w:tr>
    </w:tbl>
    <w:p>
      <w:r>
        <w:br w:type="page"/>
      </w:r>
    </w:p>
    <w:p>
      <w:pPr>
        <w:pStyle w:val="Heading1"/>
        <w:spacing w:after="180" w:before="360"/>
      </w:pPr>
      <w:r>
        <w:rPr>
          <w:rFonts w:ascii="Arial" w:cs="Arial" w:eastAsia="Arial" w:hAnsi="Arial"/>
          <w:b/>
          <w:bCs/>
          <w:color w:val="1F4E79"/>
          <w:sz w:val="36"/>
          <w:szCs w:val="36"/>
        </w:rPr>
        <w:t xml:space="preserve">5. Landing page — especificación lista para desarrollo</w:t>
      </w:r>
    </w:p>
    <w:p>
      <w:pPr>
        <w:pStyle w:val="Heading2"/>
        <w:spacing w:after="120" w:before="280"/>
      </w:pPr>
      <w:r>
        <w:rPr>
          <w:rFonts w:ascii="Arial" w:cs="Arial" w:eastAsia="Arial" w:hAnsi="Arial"/>
          <w:b/>
          <w:bCs/>
          <w:color w:val="2E75B6"/>
          <w:sz w:val="28"/>
          <w:szCs w:val="28"/>
        </w:rPr>
        <w:t xml:space="preserve">5.1 SEO técnico</w:t>
      </w:r>
    </w:p>
    <w:tbl>
      <w:tblPr>
        <w:tblW w:type="dxa" w:w="9800"/>
        <w:tblBorders>
          <w:top w:val="single" w:color="auto" w:sz="4"/>
          <w:left w:val="single" w:color="auto" w:sz="4"/>
          <w:bottom w:val="single" w:color="auto" w:sz="4"/>
          <w:right w:val="single" w:color="auto" w:sz="4"/>
          <w:insideH w:val="single" w:color="auto" w:sz="4"/>
          <w:insideV w:val="single" w:color="auto" w:sz="4"/>
        </w:tblBorders>
      </w:tblPr>
      <w:tblGrid>
        <w:gridCol w:w="2800"/>
        <w:gridCol w:w="7000"/>
      </w:tblGrid>
      <w:tr>
        <w:trPr>
          <w:tblHeader/>
        </w:trPr>
        <w:tc>
          <w:tcPr>
            <w:tcW w:type="dxa" w:w="2800"/>
            <w:tcBorders>
              <w:top w:val="single" w:color="AAAAAA" w:sz="1"/>
              <w:left w:val="single" w:color="AAAAAA" w:sz="1"/>
              <w:bottom w:val="single" w:color="AAAAAA" w:sz="1"/>
              <w:right w:val="single" w:color="AAAAAA" w:sz="1"/>
            </w:tcBorders>
            <w:shd w:fill="1F4E79" w:val="clear"/>
            <w:tcMar>
              <w:top w:type="dxa" w:w="80"/>
              <w:left w:type="dxa" w:w="120"/>
              <w:bottom w:type="dxa" w:w="80"/>
              <w:right w:type="dxa" w:w="120"/>
            </w:tcMar>
            <w:vAlign w:val="center"/>
          </w:tcPr>
          <w:p>
            <w:pPr>
              <w:jc w:val="center"/>
            </w:pPr>
            <w:r>
              <w:rPr>
                <w:rFonts w:ascii="Arial" w:cs="Arial" w:eastAsia="Arial" w:hAnsi="Arial"/>
                <w:b/>
                <w:bCs/>
                <w:color w:val="FFFFFF"/>
                <w:sz w:val="20"/>
                <w:szCs w:val="20"/>
              </w:rPr>
              <w:t xml:space="preserve">Campo</w:t>
            </w:r>
          </w:p>
        </w:tc>
        <w:tc>
          <w:tcPr>
            <w:tcW w:type="dxa" w:w="7000"/>
            <w:tcBorders>
              <w:top w:val="single" w:color="AAAAAA" w:sz="1"/>
              <w:left w:val="single" w:color="AAAAAA" w:sz="1"/>
              <w:bottom w:val="single" w:color="AAAAAA" w:sz="1"/>
              <w:right w:val="single" w:color="AAAAAA" w:sz="1"/>
            </w:tcBorders>
            <w:shd w:fill="1F4E79" w:val="clear"/>
            <w:tcMar>
              <w:top w:type="dxa" w:w="80"/>
              <w:left w:type="dxa" w:w="120"/>
              <w:bottom w:type="dxa" w:w="80"/>
              <w:right w:type="dxa" w:w="120"/>
            </w:tcMar>
            <w:vAlign w:val="center"/>
          </w:tcPr>
          <w:p>
            <w:pPr>
              <w:jc w:val="center"/>
            </w:pPr>
            <w:r>
              <w:rPr>
                <w:rFonts w:ascii="Arial" w:cs="Arial" w:eastAsia="Arial" w:hAnsi="Arial"/>
                <w:b/>
                <w:bCs/>
                <w:color w:val="FFFFFF"/>
                <w:sz w:val="20"/>
                <w:szCs w:val="20"/>
              </w:rPr>
              <w:t xml:space="preserve">Valor</w:t>
            </w:r>
          </w:p>
        </w:tc>
      </w:tr>
      <w:tr>
        <w:tc>
          <w:tcPr>
            <w:tcW w:type="dxa" w:w="280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tcPr>
          <w:p>
            <w:r>
              <w:rPr>
                <w:rFonts w:ascii="Arial" w:cs="Arial" w:eastAsia="Arial" w:hAnsi="Arial"/>
                <w:sz w:val="20"/>
                <w:szCs w:val="20"/>
              </w:rPr>
              <w:t xml:space="preserve">URL slug sugerida</w:t>
            </w:r>
          </w:p>
        </w:tc>
        <w:tc>
          <w:tcPr>
            <w:tcW w:type="dxa" w:w="700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tcPr>
          <w:p>
            <w:r>
              <w:rPr>
                <w:rFonts w:ascii="Arial" w:cs="Arial" w:eastAsia="Arial" w:hAnsi="Arial"/>
                <w:sz w:val="20"/>
                <w:szCs w:val="20"/>
              </w:rPr>
              <w:t xml:space="preserve">/patria-potestad-formacion-religiosa-menor</w:t>
            </w:r>
          </w:p>
        </w:tc>
      </w:tr>
      <w:tr>
        <w:tc>
          <w:tcPr>
            <w:tcW w:type="dxa" w:w="2800"/>
            <w:tcBorders>
              <w:top w:val="single" w:color="AAAAAA" w:sz="1"/>
              <w:left w:val="single" w:color="AAAAAA" w:sz="1"/>
              <w:bottom w:val="single" w:color="AAAAAA" w:sz="1"/>
              <w:right w:val="single" w:color="AAAAAA" w:sz="1"/>
            </w:tcBorders>
            <w:shd w:fill="F0F4FA" w:val="clear"/>
            <w:tcMar>
              <w:top w:type="dxa" w:w="80"/>
              <w:left w:type="dxa" w:w="120"/>
              <w:bottom w:type="dxa" w:w="80"/>
              <w:right w:type="dxa" w:w="120"/>
            </w:tcMar>
          </w:tcPr>
          <w:p>
            <w:r>
              <w:rPr>
                <w:rFonts w:ascii="Arial" w:cs="Arial" w:eastAsia="Arial" w:hAnsi="Arial"/>
                <w:sz w:val="20"/>
                <w:szCs w:val="20"/>
              </w:rPr>
              <w:t xml:space="preserve">Meta-title (≤ 60 caracteres)</w:t>
            </w:r>
          </w:p>
        </w:tc>
        <w:tc>
          <w:tcPr>
            <w:tcW w:type="dxa" w:w="7000"/>
            <w:tcBorders>
              <w:top w:val="single" w:color="AAAAAA" w:sz="1"/>
              <w:left w:val="single" w:color="AAAAAA" w:sz="1"/>
              <w:bottom w:val="single" w:color="AAAAAA" w:sz="1"/>
              <w:right w:val="single" w:color="AAAAAA" w:sz="1"/>
            </w:tcBorders>
            <w:shd w:fill="F0F4FA" w:val="clear"/>
            <w:tcMar>
              <w:top w:type="dxa" w:w="80"/>
              <w:left w:type="dxa" w:w="120"/>
              <w:bottom w:type="dxa" w:w="80"/>
              <w:right w:type="dxa" w:w="120"/>
            </w:tcMar>
          </w:tcPr>
          <w:p>
            <w:r>
              <w:rPr>
                <w:rFonts w:ascii="Arial" w:cs="Arial" w:eastAsia="Arial" w:hAnsi="Arial"/>
                <w:sz w:val="20"/>
                <w:szCs w:val="20"/>
              </w:rPr>
              <w:t xml:space="preserve">Patria potestad y religión del menor | Abogado especializado</w:t>
            </w:r>
          </w:p>
        </w:tc>
      </w:tr>
      <w:tr>
        <w:tc>
          <w:tcPr>
            <w:tcW w:type="dxa" w:w="280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tcPr>
          <w:p>
            <w:r>
              <w:rPr>
                <w:rFonts w:ascii="Arial" w:cs="Arial" w:eastAsia="Arial" w:hAnsi="Arial"/>
                <w:sz w:val="20"/>
                <w:szCs w:val="20"/>
              </w:rPr>
              <w:t xml:space="preserve">Meta-description (≤ 155 caracteres)</w:t>
            </w:r>
          </w:p>
        </w:tc>
        <w:tc>
          <w:tcPr>
            <w:tcW w:type="dxa" w:w="700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tcPr>
          <w:p>
            <w:r>
              <w:rPr>
                <w:rFonts w:ascii="Arial" w:cs="Arial" w:eastAsia="Arial" w:hAnsi="Arial"/>
                <w:sz w:val="20"/>
                <w:szCs w:val="20"/>
              </w:rPr>
              <w:t xml:space="preserve">¿El otro progenitor toma decisiones religiosas sin tu acuerdo? Abogado especializado en el art. 156 CC y STS 465/2015. Primera consulta con precio fijo.</w:t>
            </w:r>
          </w:p>
        </w:tc>
      </w:tr>
      <w:tr>
        <w:tc>
          <w:tcPr>
            <w:tcW w:type="dxa" w:w="2800"/>
            <w:tcBorders>
              <w:top w:val="single" w:color="AAAAAA" w:sz="1"/>
              <w:left w:val="single" w:color="AAAAAA" w:sz="1"/>
              <w:bottom w:val="single" w:color="AAAAAA" w:sz="1"/>
              <w:right w:val="single" w:color="AAAAAA" w:sz="1"/>
            </w:tcBorders>
            <w:shd w:fill="F0F4FA" w:val="clear"/>
            <w:tcMar>
              <w:top w:type="dxa" w:w="80"/>
              <w:left w:type="dxa" w:w="120"/>
              <w:bottom w:type="dxa" w:w="80"/>
              <w:right w:type="dxa" w:w="120"/>
            </w:tcMar>
          </w:tcPr>
          <w:p>
            <w:r>
              <w:rPr>
                <w:rFonts w:ascii="Arial" w:cs="Arial" w:eastAsia="Arial" w:hAnsi="Arial"/>
                <w:sz w:val="20"/>
                <w:szCs w:val="20"/>
              </w:rPr>
              <w:t xml:space="preserve">H1 de la página (coincide con hero)</w:t>
            </w:r>
          </w:p>
        </w:tc>
        <w:tc>
          <w:tcPr>
            <w:tcW w:type="dxa" w:w="7000"/>
            <w:tcBorders>
              <w:top w:val="single" w:color="AAAAAA" w:sz="1"/>
              <w:left w:val="single" w:color="AAAAAA" w:sz="1"/>
              <w:bottom w:val="single" w:color="AAAAAA" w:sz="1"/>
              <w:right w:val="single" w:color="AAAAAA" w:sz="1"/>
            </w:tcBorders>
            <w:shd w:fill="F0F4FA" w:val="clear"/>
            <w:tcMar>
              <w:top w:type="dxa" w:w="80"/>
              <w:left w:type="dxa" w:w="120"/>
              <w:bottom w:type="dxa" w:w="80"/>
              <w:right w:type="dxa" w:w="120"/>
            </w:tcMar>
          </w:tcPr>
          <w:p>
            <w:r>
              <w:rPr>
                <w:rFonts w:ascii="Arial" w:cs="Arial" w:eastAsia="Arial" w:hAnsi="Arial"/>
                <w:sz w:val="20"/>
                <w:szCs w:val="20"/>
              </w:rPr>
              <w:t xml:space="preserve">Tienen que decidirlo los dos. ¿Tu ex está eligiendo la religión de tu hijo sin preguntarte?</w:t>
            </w:r>
          </w:p>
        </w:tc>
      </w:tr>
      <w:tr>
        <w:tc>
          <w:tcPr>
            <w:tcW w:type="dxa" w:w="280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tcPr>
          <w:p>
            <w:r>
              <w:rPr>
                <w:rFonts w:ascii="Arial" w:cs="Arial" w:eastAsia="Arial" w:hAnsi="Arial"/>
                <w:sz w:val="20"/>
                <w:szCs w:val="20"/>
              </w:rPr>
              <w:t xml:space="preserve">Schema markup sugerido</w:t>
            </w:r>
          </w:p>
        </w:tc>
        <w:tc>
          <w:tcPr>
            <w:tcW w:type="dxa" w:w="700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tcPr>
          <w:p>
            <w:r>
              <w:rPr>
                <w:rFonts w:ascii="Arial" w:cs="Arial" w:eastAsia="Arial" w:hAnsi="Arial"/>
                <w:sz w:val="20"/>
                <w:szCs w:val="20"/>
              </w:rPr>
              <w:t xml:space="preserve">LocalBusiness + LegalService + FAQPage (para las 8 preguntas de la sección FAQ)</w:t>
            </w:r>
          </w:p>
        </w:tc>
      </w:tr>
    </w:tbl>
    <w:p>
      <w:pPr>
        <w:spacing w:after="120"/>
      </w:pPr>
      <w:r>
        <w:t xml:space="preserve"/>
      </w:r>
    </w:p>
    <w:p>
      <w:pPr>
        <w:pStyle w:val="Heading2"/>
        <w:spacing w:after="120" w:before="280"/>
      </w:pPr>
      <w:r>
        <w:rPr>
          <w:rFonts w:ascii="Arial" w:cs="Arial" w:eastAsia="Arial" w:hAnsi="Arial"/>
          <w:b/>
          <w:bCs/>
          <w:color w:val="2E75B6"/>
          <w:sz w:val="28"/>
          <w:szCs w:val="28"/>
        </w:rPr>
        <w:t xml:space="preserve">5.2 HERO (primera pantalla)</w:t>
      </w:r>
    </w:p>
    <w:tbl>
      <w:tblPr>
        <w:tblW w:type="dxa" w:w="9800"/>
        <w:tblBorders>
          <w:top w:val="single" w:color="auto" w:sz="4"/>
          <w:left w:val="single" w:color="auto" w:sz="4"/>
          <w:bottom w:val="single" w:color="auto" w:sz="4"/>
          <w:right w:val="single" w:color="auto" w:sz="4"/>
          <w:insideH w:val="single" w:color="auto" w:sz="4"/>
          <w:insideV w:val="single" w:color="auto" w:sz="4"/>
        </w:tblBorders>
      </w:tblPr>
      <w:tblGrid>
        <w:gridCol w:w="2500"/>
        <w:gridCol w:w="7300"/>
      </w:tblGrid>
      <w:tr>
        <w:trPr>
          <w:tblHeader/>
        </w:trPr>
        <w:tc>
          <w:tcPr>
            <w:tcW w:type="dxa" w:w="2500"/>
            <w:tcBorders>
              <w:top w:val="single" w:color="AAAAAA" w:sz="1"/>
              <w:left w:val="single" w:color="AAAAAA" w:sz="1"/>
              <w:bottom w:val="single" w:color="AAAAAA" w:sz="1"/>
              <w:right w:val="single" w:color="AAAAAA" w:sz="1"/>
            </w:tcBorders>
            <w:shd w:fill="1F4E79" w:val="clear"/>
            <w:tcMar>
              <w:top w:type="dxa" w:w="80"/>
              <w:left w:type="dxa" w:w="120"/>
              <w:bottom w:type="dxa" w:w="80"/>
              <w:right w:type="dxa" w:w="120"/>
            </w:tcMar>
            <w:vAlign w:val="center"/>
          </w:tcPr>
          <w:p>
            <w:pPr>
              <w:jc w:val="center"/>
            </w:pPr>
            <w:r>
              <w:rPr>
                <w:rFonts w:ascii="Arial" w:cs="Arial" w:eastAsia="Arial" w:hAnsi="Arial"/>
                <w:b/>
                <w:bCs/>
                <w:color w:val="FFFFFF"/>
                <w:sz w:val="20"/>
                <w:szCs w:val="20"/>
              </w:rPr>
              <w:t xml:space="preserve">Elemento</w:t>
            </w:r>
          </w:p>
        </w:tc>
        <w:tc>
          <w:tcPr>
            <w:tcW w:type="dxa" w:w="7300"/>
            <w:tcBorders>
              <w:top w:val="single" w:color="AAAAAA" w:sz="1"/>
              <w:left w:val="single" w:color="AAAAAA" w:sz="1"/>
              <w:bottom w:val="single" w:color="AAAAAA" w:sz="1"/>
              <w:right w:val="single" w:color="AAAAAA" w:sz="1"/>
            </w:tcBorders>
            <w:shd w:fill="1F4E79" w:val="clear"/>
            <w:tcMar>
              <w:top w:type="dxa" w:w="80"/>
              <w:left w:type="dxa" w:w="120"/>
              <w:bottom w:type="dxa" w:w="80"/>
              <w:right w:type="dxa" w:w="120"/>
            </w:tcMar>
            <w:vAlign w:val="center"/>
          </w:tcPr>
          <w:p>
            <w:pPr>
              <w:jc w:val="center"/>
            </w:pPr>
            <w:r>
              <w:rPr>
                <w:rFonts w:ascii="Arial" w:cs="Arial" w:eastAsia="Arial" w:hAnsi="Arial"/>
                <w:b/>
                <w:bCs/>
                <w:color w:val="FFFFFF"/>
                <w:sz w:val="20"/>
                <w:szCs w:val="20"/>
              </w:rPr>
              <w:t xml:space="preserve">Contenido</w:t>
            </w:r>
          </w:p>
        </w:tc>
      </w:tr>
      <w:tr>
        <w:tc>
          <w:tcPr>
            <w:tcW w:type="dxa" w:w="250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tcPr>
          <w:p>
            <w:r>
              <w:rPr>
                <w:rFonts w:ascii="Arial" w:cs="Arial" w:eastAsia="Arial" w:hAnsi="Arial"/>
                <w:sz w:val="20"/>
                <w:szCs w:val="20"/>
              </w:rPr>
              <w:t xml:space="preserve">Titular (≤ 9 palabras)</w:t>
            </w:r>
          </w:p>
        </w:tc>
        <w:tc>
          <w:tcPr>
            <w:tcW w:type="dxa" w:w="730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tcPr>
          <w:p>
            <w:r>
              <w:rPr>
                <w:rFonts w:ascii="Arial" w:cs="Arial" w:eastAsia="Arial" w:hAnsi="Arial"/>
                <w:sz w:val="20"/>
                <w:szCs w:val="20"/>
              </w:rPr>
              <w:t xml:space="preserve">Tienen que decidirlo los dos. Sin excepciones.</w:t>
            </w:r>
          </w:p>
        </w:tc>
      </w:tr>
      <w:tr>
        <w:tc>
          <w:tcPr>
            <w:tcW w:type="dxa" w:w="2500"/>
            <w:tcBorders>
              <w:top w:val="single" w:color="AAAAAA" w:sz="1"/>
              <w:left w:val="single" w:color="AAAAAA" w:sz="1"/>
              <w:bottom w:val="single" w:color="AAAAAA" w:sz="1"/>
              <w:right w:val="single" w:color="AAAAAA" w:sz="1"/>
            </w:tcBorders>
            <w:shd w:fill="F0F4FA" w:val="clear"/>
            <w:tcMar>
              <w:top w:type="dxa" w:w="80"/>
              <w:left w:type="dxa" w:w="120"/>
              <w:bottom w:type="dxa" w:w="80"/>
              <w:right w:type="dxa" w:w="120"/>
            </w:tcMar>
          </w:tcPr>
          <w:p>
            <w:r>
              <w:rPr>
                <w:rFonts w:ascii="Arial" w:cs="Arial" w:eastAsia="Arial" w:hAnsi="Arial"/>
                <w:sz w:val="20"/>
                <w:szCs w:val="20"/>
              </w:rPr>
              <w:t xml:space="preserve">Subtitular (2-3 líneas)</w:t>
            </w:r>
          </w:p>
        </w:tc>
        <w:tc>
          <w:tcPr>
            <w:tcW w:type="dxa" w:w="7300"/>
            <w:tcBorders>
              <w:top w:val="single" w:color="AAAAAA" w:sz="1"/>
              <w:left w:val="single" w:color="AAAAAA" w:sz="1"/>
              <w:bottom w:val="single" w:color="AAAAAA" w:sz="1"/>
              <w:right w:val="single" w:color="AAAAAA" w:sz="1"/>
            </w:tcBorders>
            <w:shd w:fill="F0F4FA" w:val="clear"/>
            <w:tcMar>
              <w:top w:type="dxa" w:w="80"/>
              <w:left w:type="dxa" w:w="120"/>
              <w:bottom w:type="dxa" w:w="80"/>
              <w:right w:type="dxa" w:w="120"/>
            </w:tcMar>
          </w:tcPr>
          <w:p>
            <w:r>
              <w:rPr>
                <w:rFonts w:ascii="Arial" w:cs="Arial" w:eastAsia="Arial" w:hAnsi="Arial"/>
                <w:sz w:val="20"/>
                <w:szCs w:val="20"/>
              </w:rPr>
              <w:t xml:space="preserve">Si el otro progenitor ha inscrito a tu hijo en catequesis, lo ha bautizado o quiere celebrar la Primera Comunión sin tu consentimiento, la ley está de tu lado. El Tribunal Supremo lo ha establecido: estas decisiones requieren acuerdo de ambos progenitores.</w:t>
            </w:r>
          </w:p>
        </w:tc>
      </w:tr>
      <w:tr>
        <w:tc>
          <w:tcPr>
            <w:tcW w:type="dxa" w:w="250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tcPr>
          <w:p>
            <w:r>
              <w:rPr>
                <w:rFonts w:ascii="Arial" w:cs="Arial" w:eastAsia="Arial" w:hAnsi="Arial"/>
                <w:sz w:val="20"/>
                <w:szCs w:val="20"/>
              </w:rPr>
              <w:t xml:space="preserve">CTA primaria</w:t>
            </w:r>
          </w:p>
        </w:tc>
        <w:tc>
          <w:tcPr>
            <w:tcW w:type="dxa" w:w="730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tcPr>
          <w:p>
            <w:r>
              <w:rPr>
                <w:rFonts w:ascii="Arial" w:cs="Arial" w:eastAsia="Arial" w:hAnsi="Arial"/>
                <w:sz w:val="20"/>
                <w:szCs w:val="20"/>
              </w:rPr>
              <w:t xml:space="preserve">Descarga la guía gratuita →  [botón naranja / color de acción]</w:t>
            </w:r>
          </w:p>
        </w:tc>
      </w:tr>
      <w:tr>
        <w:tc>
          <w:tcPr>
            <w:tcW w:type="dxa" w:w="2500"/>
            <w:tcBorders>
              <w:top w:val="single" w:color="AAAAAA" w:sz="1"/>
              <w:left w:val="single" w:color="AAAAAA" w:sz="1"/>
              <w:bottom w:val="single" w:color="AAAAAA" w:sz="1"/>
              <w:right w:val="single" w:color="AAAAAA" w:sz="1"/>
            </w:tcBorders>
            <w:shd w:fill="F0F4FA" w:val="clear"/>
            <w:tcMar>
              <w:top w:type="dxa" w:w="80"/>
              <w:left w:type="dxa" w:w="120"/>
              <w:bottom w:type="dxa" w:w="80"/>
              <w:right w:type="dxa" w:w="120"/>
            </w:tcMar>
          </w:tcPr>
          <w:p>
            <w:r>
              <w:rPr>
                <w:rFonts w:ascii="Arial" w:cs="Arial" w:eastAsia="Arial" w:hAnsi="Arial"/>
                <w:sz w:val="20"/>
                <w:szCs w:val="20"/>
              </w:rPr>
              <w:t xml:space="preserve">CTA secundaria</w:t>
            </w:r>
          </w:p>
        </w:tc>
        <w:tc>
          <w:tcPr>
            <w:tcW w:type="dxa" w:w="7300"/>
            <w:tcBorders>
              <w:top w:val="single" w:color="AAAAAA" w:sz="1"/>
              <w:left w:val="single" w:color="AAAAAA" w:sz="1"/>
              <w:bottom w:val="single" w:color="AAAAAA" w:sz="1"/>
              <w:right w:val="single" w:color="AAAAAA" w:sz="1"/>
            </w:tcBorders>
            <w:shd w:fill="F0F4FA" w:val="clear"/>
            <w:tcMar>
              <w:top w:type="dxa" w:w="80"/>
              <w:left w:type="dxa" w:w="120"/>
              <w:bottom w:type="dxa" w:w="80"/>
              <w:right w:type="dxa" w:w="120"/>
            </w:tcMar>
          </w:tcPr>
          <w:p>
            <w:r>
              <w:rPr>
                <w:rFonts w:ascii="Arial" w:cs="Arial" w:eastAsia="Arial" w:hAnsi="Arial"/>
                <w:sz w:val="20"/>
                <w:szCs w:val="20"/>
              </w:rPr>
              <w:t xml:space="preserve">Reserva una llamada de 15 minutos →  [enlace de texto]</w:t>
            </w:r>
          </w:p>
        </w:tc>
      </w:tr>
      <w:tr>
        <w:tc>
          <w:tcPr>
            <w:tcW w:type="dxa" w:w="250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tcPr>
          <w:p>
            <w:r>
              <w:rPr>
                <w:rFonts w:ascii="Arial" w:cs="Arial" w:eastAsia="Arial" w:hAnsi="Arial"/>
                <w:sz w:val="20"/>
                <w:szCs w:val="20"/>
              </w:rPr>
              <w:t xml:space="preserve">Imagen / prueba visual sugerida</w:t>
            </w:r>
          </w:p>
        </w:tc>
        <w:tc>
          <w:tcPr>
            <w:tcW w:type="dxa" w:w="730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tcPr>
          <w:p>
            <w:r>
              <w:rPr>
                <w:rFonts w:ascii="Arial" w:cs="Arial" w:eastAsia="Arial" w:hAnsi="Arial"/>
                <w:sz w:val="20"/>
                <w:szCs w:val="20"/>
              </w:rPr>
              <w:t xml:space="preserve">Foto de concepto: manos de adulto y niño, sin caras. O bien: imagen abstracta de balanza de justicia estilizada. Evitar imágenes de rotura familiar o conflicto (transmiten negatividad). Alternativamente: foto profesional del abogado/a en entorno de despacho (genera confianza en B2C de alto valor).</w:t>
            </w:r>
          </w:p>
        </w:tc>
      </w:tr>
    </w:tbl>
    <w:p>
      <w:pPr>
        <w:spacing w:after="120"/>
      </w:pPr>
      <w:r>
        <w:t xml:space="preserve"/>
      </w:r>
    </w:p>
    <w:p>
      <w:pPr>
        <w:pStyle w:val="Heading2"/>
        <w:spacing w:after="120" w:before="280"/>
      </w:pPr>
      <w:r>
        <w:rPr>
          <w:rFonts w:ascii="Arial" w:cs="Arial" w:eastAsia="Arial" w:hAnsi="Arial"/>
          <w:b/>
          <w:bCs/>
          <w:color w:val="2E75B6"/>
          <w:sz w:val="28"/>
          <w:szCs w:val="28"/>
        </w:rPr>
        <w:t xml:space="preserve">5.3 Sección '¿Te reconoces en esta situación?'</w:t>
      </w:r>
    </w:p>
    <w:p>
      <w:pPr>
        <w:spacing w:after="120"/>
        <w:jc w:val="both"/>
      </w:pPr>
      <w:r>
        <w:rPr>
          <w:rFonts w:ascii="Arial" w:cs="Arial" w:eastAsia="Arial" w:hAnsi="Arial"/>
          <w:b w:val="false"/>
          <w:bCs w:val="false"/>
          <w:color w:val="000000"/>
          <w:sz w:val="22"/>
          <w:szCs w:val="22"/>
        </w:rPr>
        <w:t xml:space="preserve">Tres escenarios detonantes que reflejan las situaciones más frecuentes del caso de origen:</w:t>
      </w:r>
    </w:p>
    <w:p>
      <w:pPr>
        <w:spacing w:after="120"/>
      </w:pPr>
      <w:r>
        <w:t xml:space="preserve"/>
      </w:r>
    </w:p>
    <w:p>
      <w:pPr>
        <w:spacing w:after="120"/>
        <w:jc w:val="both"/>
      </w:pPr>
      <w:r>
        <w:rPr>
          <w:rFonts w:ascii="Arial" w:cs="Arial" w:eastAsia="Arial" w:hAnsi="Arial"/>
          <w:b/>
          <w:bCs/>
          <w:color w:val="000000"/>
          <w:sz w:val="22"/>
          <w:szCs w:val="22"/>
        </w:rPr>
        <w:t xml:space="preserve">ESCENARIO 1 — 'El burofax inesperado'</w:t>
      </w:r>
    </w:p>
    <w:p>
      <w:pPr>
        <w:spacing w:after="120"/>
        <w:jc w:val="both"/>
      </w:pPr>
      <w:r>
        <w:rPr>
          <w:rFonts w:ascii="Arial" w:cs="Arial" w:eastAsia="Arial" w:hAnsi="Arial"/>
          <w:b w:val="false"/>
          <w:bCs w:val="false"/>
          <w:color w:val="000000"/>
          <w:sz w:val="22"/>
          <w:szCs w:val="22"/>
        </w:rPr>
        <w:t xml:space="preserve">Recibes un burofax del abogado de tu ex comunicándote que tu hijo empezará la catequesis la semana que viene o que la comunión está ya fijada para el próximo mayo. No te han consultado. No has dado tu consentimiento. Y no sabes si tienes derechos o no en este asunto.</w:t>
      </w:r>
    </w:p>
    <w:p>
      <w:pPr>
        <w:spacing w:after="120"/>
      </w:pPr>
      <w:r>
        <w:t xml:space="preserve"/>
      </w:r>
    </w:p>
    <w:p>
      <w:pPr>
        <w:spacing w:after="120"/>
        <w:jc w:val="both"/>
      </w:pPr>
      <w:r>
        <w:rPr>
          <w:rFonts w:ascii="Arial" w:cs="Arial" w:eastAsia="Arial" w:hAnsi="Arial"/>
          <w:b/>
          <w:bCs/>
          <w:color w:val="000000"/>
          <w:sz w:val="22"/>
          <w:szCs w:val="22"/>
        </w:rPr>
        <w:t xml:space="preserve">ESCENARIO 2 — 'Ya ha pasado sin avisarte'</w:t>
      </w:r>
    </w:p>
    <w:p>
      <w:pPr>
        <w:spacing w:after="120"/>
        <w:jc w:val="both"/>
      </w:pPr>
      <w:r>
        <w:rPr>
          <w:rFonts w:ascii="Arial" w:cs="Arial" w:eastAsia="Arial" w:hAnsi="Arial"/>
          <w:b w:val="false"/>
          <w:bCs w:val="false"/>
          <w:color w:val="000000"/>
          <w:sz w:val="22"/>
          <w:szCs w:val="22"/>
        </w:rPr>
        <w:t xml:space="preserve">Tu hijo ha sido bautizado, ha hecho la Primera Comunión o está en catequesis desde hace meses. Te enteraste por casualidad o porque el propio menor te lo contó. Sientes que te han excluido de una decisión que te corresponde a ti también.</w:t>
      </w:r>
    </w:p>
    <w:p>
      <w:pPr>
        <w:spacing w:after="120"/>
      </w:pPr>
      <w:r>
        <w:t xml:space="preserve"/>
      </w:r>
    </w:p>
    <w:p>
      <w:pPr>
        <w:spacing w:after="120"/>
        <w:jc w:val="both"/>
      </w:pPr>
      <w:r>
        <w:rPr>
          <w:rFonts w:ascii="Arial" w:cs="Arial" w:eastAsia="Arial" w:hAnsi="Arial"/>
          <w:b/>
          <w:bCs/>
          <w:color w:val="000000"/>
          <w:sz w:val="22"/>
          <w:szCs w:val="22"/>
        </w:rPr>
        <w:t xml:space="preserve">ESCENARIO 3 — 'El desacuerdo que escala'</w:t>
      </w:r>
    </w:p>
    <w:p>
      <w:pPr>
        <w:spacing w:after="120"/>
        <w:jc w:val="both"/>
      </w:pPr>
      <w:r>
        <w:rPr>
          <w:rFonts w:ascii="Arial" w:cs="Arial" w:eastAsia="Arial" w:hAnsi="Arial"/>
          <w:b w:val="false"/>
          <w:bCs w:val="false"/>
          <w:color w:val="000000"/>
          <w:sz w:val="22"/>
          <w:szCs w:val="22"/>
        </w:rPr>
        <w:t xml:space="preserve">Vosotros tenéis religiones distintas, o simplemente opiniones muy diferentes sobre la educación religiosa de vuestro hijo. El otro progenitor quiere avanzar. Tú no estás de acuerdo. Y cada intento de hablar acaba en bronca. No sabes si la ley te da alguna herramienta o si solo queda resignarse.</w:t>
      </w:r>
    </w:p>
    <w:p>
      <w:pPr>
        <w:spacing w:after="120"/>
      </w:pPr>
      <w:r>
        <w:t xml:space="preserve"/>
      </w:r>
    </w:p>
    <w:p>
      <w:pPr>
        <w:pStyle w:val="Heading2"/>
        <w:spacing w:after="120" w:before="280"/>
      </w:pPr>
      <w:r>
        <w:rPr>
          <w:rFonts w:ascii="Arial" w:cs="Arial" w:eastAsia="Arial" w:hAnsi="Arial"/>
          <w:b/>
          <w:bCs/>
          <w:color w:val="2E75B6"/>
          <w:sz w:val="28"/>
          <w:szCs w:val="28"/>
        </w:rPr>
        <w:t xml:space="preserve">5.4 Sección marco jurídico</w:t>
      </w:r>
    </w:p>
    <w:p>
      <w:pPr>
        <w:spacing w:after="120"/>
        <w:jc w:val="both"/>
      </w:pPr>
      <w:r>
        <w:rPr>
          <w:rFonts w:ascii="Arial" w:cs="Arial" w:eastAsia="Arial" w:hAnsi="Arial"/>
          <w:b w:val="false"/>
          <w:bCs w:val="false"/>
          <w:color w:val="000000"/>
          <w:sz w:val="22"/>
          <w:szCs w:val="22"/>
        </w:rPr>
        <w:t xml:space="preserve">Título sugerido: 'La ley es clara. Te la explicamos sin tecnicismos.'</w:t>
      </w:r>
    </w:p>
    <w:p>
      <w:pPr>
        <w:spacing w:after="120"/>
      </w:pPr>
      <w:r>
        <w:t xml:space="preserve"/>
      </w:r>
    </w:p>
    <w:p>
      <w:pPr>
        <w:spacing w:after="120"/>
        <w:jc w:val="both"/>
      </w:pPr>
      <w:r>
        <w:rPr>
          <w:rFonts w:ascii="Arial" w:cs="Arial" w:eastAsia="Arial" w:hAnsi="Arial"/>
          <w:b w:val="false"/>
          <w:bCs w:val="false"/>
          <w:color w:val="000000"/>
          <w:sz w:val="22"/>
          <w:szCs w:val="22"/>
        </w:rPr>
        <w:t xml:space="preserve">La Primera Comunión, el Bautismo y la inscripción en catequesis no son decisiones que pueda tomar un solo progenitor. Esto no es una opinión: es lo que establece el artículo 156 del Código Civil, que obliga a que todas las decisiones relevantes sobre los hijos se adopten de común acuerdo cuando existe patria potestad conjunta.</w:t>
      </w:r>
    </w:p>
    <w:p>
      <w:pPr>
        <w:spacing w:after="120"/>
      </w:pPr>
      <w:r>
        <w:t xml:space="preserve"/>
      </w:r>
    </w:p>
    <w:p>
      <w:pPr>
        <w:spacing w:after="120"/>
        <w:jc w:val="both"/>
      </w:pPr>
      <w:r>
        <w:rPr>
          <w:rFonts w:ascii="Arial" w:cs="Arial" w:eastAsia="Arial" w:hAnsi="Arial"/>
          <w:b w:val="false"/>
          <w:bCs w:val="false"/>
          <w:color w:val="000000"/>
          <w:sz w:val="22"/>
          <w:szCs w:val="22"/>
        </w:rPr>
        <w:t xml:space="preserve">El Tribunal Supremo, en su Sentencia 465/2015 de 9 de septiembre, lo confirmó expresamente: los sacramentos y celebraciones religiosas de relevancia forman parte de la patria potestad y no pueden imponerse unilateralmente. Esta doctrina ha sido reafirmada por sentencias posteriores y por el propio Tribunal Constitucional en 2023 y 2025.</w:t>
      </w:r>
    </w:p>
    <w:p>
      <w:pPr>
        <w:spacing w:after="120"/>
      </w:pPr>
      <w:r>
        <w:t xml:space="preserve"/>
      </w:r>
    </w:p>
    <w:p>
      <w:pPr>
        <w:spacing w:after="120"/>
        <w:jc w:val="both"/>
      </w:pPr>
      <w:r>
        <w:rPr>
          <w:rFonts w:ascii="Arial" w:cs="Arial" w:eastAsia="Arial" w:hAnsi="Arial"/>
          <w:b w:val="false"/>
          <w:bCs w:val="false"/>
          <w:color w:val="000000"/>
          <w:sz w:val="22"/>
          <w:szCs w:val="22"/>
        </w:rPr>
        <w:t xml:space="preserve">Además, la Constitución Española (artículo 27.3) reconoce el derecho de ambos padres a que sus hijos reciban la formación moral y religiosa de acuerdo con sus convicciones. Eso implica que ninguno de los dos puede imponerse al otro unilateralmente.</w:t>
      </w:r>
    </w:p>
    <w:p>
      <w:pPr>
        <w:spacing w:after="120"/>
      </w:pPr>
      <w:r>
        <w:t xml:space="preserve"/>
      </w:r>
    </w:p>
    <w:p>
      <w:pPr>
        <w:spacing w:after="120"/>
        <w:jc w:val="both"/>
      </w:pPr>
      <w:r>
        <w:rPr>
          <w:rFonts w:ascii="Arial" w:cs="Arial" w:eastAsia="Arial" w:hAnsi="Arial"/>
          <w:b w:val="false"/>
          <w:bCs w:val="false"/>
          <w:color w:val="000000"/>
          <w:sz w:val="22"/>
          <w:szCs w:val="22"/>
        </w:rPr>
        <w:t xml:space="preserve">Y hay un tercer elemento que a menudo se olvida: la voz del propio menor. La Ley Orgánica de Protección Jurídica del Menor (artículo 9) reconoce a los menores el derecho a ser oídos en las decisiones que les afectan, según su edad y madurez. En menores de 9 años o más, la opinión del niño o la niña puede ser determinante para el juez.</w:t>
      </w:r>
    </w:p>
    <w:p>
      <w:pPr>
        <w:spacing w:after="120"/>
      </w:pPr>
      <w:r>
        <w:t xml:space="preserve"/>
      </w:r>
    </w:p>
    <w:p>
      <w:pPr>
        <w:pStyle w:val="Heading2"/>
        <w:spacing w:after="120" w:before="280"/>
      </w:pPr>
      <w:r>
        <w:rPr>
          <w:rFonts w:ascii="Arial" w:cs="Arial" w:eastAsia="Arial" w:hAnsi="Arial"/>
          <w:b/>
          <w:bCs/>
          <w:color w:val="2E75B6"/>
          <w:sz w:val="28"/>
          <w:szCs w:val="28"/>
        </w:rPr>
        <w:t xml:space="preserve">5.5 Sección 'Cómo te acompañamos'</w:t>
      </w:r>
    </w:p>
    <w:tbl>
      <w:tblPr>
        <w:tblW w:type="dxa" w:w="9800"/>
        <w:tblBorders>
          <w:top w:val="single" w:color="auto" w:sz="4"/>
          <w:left w:val="single" w:color="auto" w:sz="4"/>
          <w:bottom w:val="single" w:color="auto" w:sz="4"/>
          <w:right w:val="single" w:color="auto" w:sz="4"/>
          <w:insideH w:val="single" w:color="auto" w:sz="4"/>
          <w:insideV w:val="single" w:color="auto" w:sz="4"/>
        </w:tblBorders>
      </w:tblPr>
      <w:tblGrid>
        <w:gridCol w:w="2300"/>
        <w:gridCol w:w="4000"/>
        <w:gridCol w:w="3500"/>
      </w:tblGrid>
      <w:tr>
        <w:trPr>
          <w:tblHeader/>
        </w:trPr>
        <w:tc>
          <w:tcPr>
            <w:tcW w:type="dxa" w:w="2300"/>
            <w:tcBorders>
              <w:top w:val="single" w:color="AAAAAA" w:sz="1"/>
              <w:left w:val="single" w:color="AAAAAA" w:sz="1"/>
              <w:bottom w:val="single" w:color="AAAAAA" w:sz="1"/>
              <w:right w:val="single" w:color="AAAAAA" w:sz="1"/>
            </w:tcBorders>
            <w:shd w:fill="1F4E79" w:val="clear"/>
            <w:tcMar>
              <w:top w:type="dxa" w:w="80"/>
              <w:left w:type="dxa" w:w="120"/>
              <w:bottom w:type="dxa" w:w="80"/>
              <w:right w:type="dxa" w:w="120"/>
            </w:tcMar>
            <w:vAlign w:val="center"/>
          </w:tcPr>
          <w:p>
            <w:pPr>
              <w:jc w:val="center"/>
            </w:pPr>
            <w:r>
              <w:rPr>
                <w:rFonts w:ascii="Arial" w:cs="Arial" w:eastAsia="Arial" w:hAnsi="Arial"/>
                <w:b/>
                <w:bCs/>
                <w:color w:val="FFFFFF"/>
                <w:sz w:val="20"/>
                <w:szCs w:val="20"/>
              </w:rPr>
              <w:t xml:space="preserve">Escenario</w:t>
            </w:r>
          </w:p>
        </w:tc>
        <w:tc>
          <w:tcPr>
            <w:tcW w:type="dxa" w:w="4000"/>
            <w:tcBorders>
              <w:top w:val="single" w:color="AAAAAA" w:sz="1"/>
              <w:left w:val="single" w:color="AAAAAA" w:sz="1"/>
              <w:bottom w:val="single" w:color="AAAAAA" w:sz="1"/>
              <w:right w:val="single" w:color="AAAAAA" w:sz="1"/>
            </w:tcBorders>
            <w:shd w:fill="1F4E79" w:val="clear"/>
            <w:tcMar>
              <w:top w:type="dxa" w:w="80"/>
              <w:left w:type="dxa" w:w="120"/>
              <w:bottom w:type="dxa" w:w="80"/>
              <w:right w:type="dxa" w:w="120"/>
            </w:tcMar>
            <w:vAlign w:val="center"/>
          </w:tcPr>
          <w:p>
            <w:pPr>
              <w:jc w:val="center"/>
            </w:pPr>
            <w:r>
              <w:rPr>
                <w:rFonts w:ascii="Arial" w:cs="Arial" w:eastAsia="Arial" w:hAnsi="Arial"/>
                <w:b/>
                <w:bCs/>
                <w:color w:val="FFFFFF"/>
                <w:sz w:val="20"/>
                <w:szCs w:val="20"/>
              </w:rPr>
              <w:t xml:space="preserve">En qué consiste</w:t>
            </w:r>
          </w:p>
        </w:tc>
        <w:tc>
          <w:tcPr>
            <w:tcW w:type="dxa" w:w="3500"/>
            <w:tcBorders>
              <w:top w:val="single" w:color="AAAAAA" w:sz="1"/>
              <w:left w:val="single" w:color="AAAAAA" w:sz="1"/>
              <w:bottom w:val="single" w:color="AAAAAA" w:sz="1"/>
              <w:right w:val="single" w:color="AAAAAA" w:sz="1"/>
            </w:tcBorders>
            <w:shd w:fill="1F4E79" w:val="clear"/>
            <w:tcMar>
              <w:top w:type="dxa" w:w="80"/>
              <w:left w:type="dxa" w:w="120"/>
              <w:bottom w:type="dxa" w:w="80"/>
              <w:right w:type="dxa" w:w="120"/>
            </w:tcMar>
            <w:vAlign w:val="center"/>
          </w:tcPr>
          <w:p>
            <w:pPr>
              <w:jc w:val="center"/>
            </w:pPr>
            <w:r>
              <w:rPr>
                <w:rFonts w:ascii="Arial" w:cs="Arial" w:eastAsia="Arial" w:hAnsi="Arial"/>
                <w:b/>
                <w:bCs/>
                <w:color w:val="FFFFFF"/>
                <w:sz w:val="20"/>
                <w:szCs w:val="20"/>
              </w:rPr>
              <w:t xml:space="preserve">Resultado esperado</w:t>
            </w:r>
          </w:p>
        </w:tc>
      </w:tr>
      <w:tr>
        <w:tc>
          <w:tcPr>
            <w:tcW w:type="dxa" w:w="230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tcPr>
          <w:p>
            <w:r>
              <w:rPr>
                <w:rFonts w:ascii="Arial" w:cs="Arial" w:eastAsia="Arial" w:hAnsi="Arial"/>
                <w:sz w:val="20"/>
                <w:szCs w:val="20"/>
              </w:rPr>
              <w:t xml:space="preserve">Acuerdo negociado entre progenitores</w:t>
            </w:r>
          </w:p>
        </w:tc>
        <w:tc>
          <w:tcPr>
            <w:tcW w:type="dxa" w:w="400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tcPr>
          <w:p>
            <w:r>
              <w:rPr>
                <w:rFonts w:ascii="Arial" w:cs="Arial" w:eastAsia="Arial" w:hAnsi="Arial"/>
                <w:sz w:val="20"/>
                <w:szCs w:val="20"/>
              </w:rPr>
              <w:t xml:space="preserve">Redactamos la respuesta al burofax, establecemos el tono de la negociación y preparamos un borrador de acuerdo que regule las decisiones religiosas del menor con garantías para ambas partes.</w:t>
            </w:r>
          </w:p>
        </w:tc>
        <w:tc>
          <w:tcPr>
            <w:tcW w:type="dxa" w:w="350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tcPr>
          <w:p>
            <w:r>
              <w:rPr>
                <w:rFonts w:ascii="Arial" w:cs="Arial" w:eastAsia="Arial" w:hAnsi="Arial"/>
                <w:sz w:val="20"/>
                <w:szCs w:val="20"/>
              </w:rPr>
              <w:t xml:space="preserve">Resolución del conflicto sin procedimiento judicial. Acuerdo firmado por ambos progenitores. Relación coparental preservada.</w:t>
            </w:r>
          </w:p>
        </w:tc>
      </w:tr>
      <w:tr>
        <w:tc>
          <w:tcPr>
            <w:tcW w:type="dxa" w:w="2300"/>
            <w:tcBorders>
              <w:top w:val="single" w:color="AAAAAA" w:sz="1"/>
              <w:left w:val="single" w:color="AAAAAA" w:sz="1"/>
              <w:bottom w:val="single" w:color="AAAAAA" w:sz="1"/>
              <w:right w:val="single" w:color="AAAAAA" w:sz="1"/>
            </w:tcBorders>
            <w:shd w:fill="F0F4FA" w:val="clear"/>
            <w:tcMar>
              <w:top w:type="dxa" w:w="80"/>
              <w:left w:type="dxa" w:w="120"/>
              <w:bottom w:type="dxa" w:w="80"/>
              <w:right w:type="dxa" w:w="120"/>
            </w:tcMar>
          </w:tcPr>
          <w:p>
            <w:r>
              <w:rPr>
                <w:rFonts w:ascii="Arial" w:cs="Arial" w:eastAsia="Arial" w:hAnsi="Arial"/>
                <w:sz w:val="20"/>
                <w:szCs w:val="20"/>
              </w:rPr>
              <w:t xml:space="preserve">Mediación familiar</w:t>
            </w:r>
          </w:p>
        </w:tc>
        <w:tc>
          <w:tcPr>
            <w:tcW w:type="dxa" w:w="4000"/>
            <w:tcBorders>
              <w:top w:val="single" w:color="AAAAAA" w:sz="1"/>
              <w:left w:val="single" w:color="AAAAAA" w:sz="1"/>
              <w:bottom w:val="single" w:color="AAAAAA" w:sz="1"/>
              <w:right w:val="single" w:color="AAAAAA" w:sz="1"/>
            </w:tcBorders>
            <w:shd w:fill="F0F4FA" w:val="clear"/>
            <w:tcMar>
              <w:top w:type="dxa" w:w="80"/>
              <w:left w:type="dxa" w:w="120"/>
              <w:bottom w:type="dxa" w:w="80"/>
              <w:right w:type="dxa" w:w="120"/>
            </w:tcMar>
          </w:tcPr>
          <w:p>
            <w:r>
              <w:rPr>
                <w:rFonts w:ascii="Arial" w:cs="Arial" w:eastAsia="Arial" w:hAnsi="Arial"/>
                <w:sz w:val="20"/>
                <w:szCs w:val="20"/>
              </w:rPr>
              <w:t xml:space="preserve">Si el diálogo directo no es posible, te acompañamos en un proceso de mediación familiar. Analizamos qué mediador es el más adecuado y cómo presentar la propuesta al otro progenitor de forma que sea difícil de rechazar.</w:t>
            </w:r>
          </w:p>
        </w:tc>
        <w:tc>
          <w:tcPr>
            <w:tcW w:type="dxa" w:w="3500"/>
            <w:tcBorders>
              <w:top w:val="single" w:color="AAAAAA" w:sz="1"/>
              <w:left w:val="single" w:color="AAAAAA" w:sz="1"/>
              <w:bottom w:val="single" w:color="AAAAAA" w:sz="1"/>
              <w:right w:val="single" w:color="AAAAAA" w:sz="1"/>
            </w:tcBorders>
            <w:shd w:fill="F0F4FA" w:val="clear"/>
            <w:tcMar>
              <w:top w:type="dxa" w:w="80"/>
              <w:left w:type="dxa" w:w="120"/>
              <w:bottom w:type="dxa" w:w="80"/>
              <w:right w:type="dxa" w:w="120"/>
            </w:tcMar>
          </w:tcPr>
          <w:p>
            <w:r>
              <w:rPr>
                <w:rFonts w:ascii="Arial" w:cs="Arial" w:eastAsia="Arial" w:hAnsi="Arial"/>
                <w:sz w:val="20"/>
                <w:szCs w:val="20"/>
              </w:rPr>
              <w:t xml:space="preserve">Acuerdo de mediación con eficacia jurídica (elevable a escritura pública o con homologación judicial). Solución en semanas, no en meses.</w:t>
            </w:r>
          </w:p>
        </w:tc>
      </w:tr>
      <w:tr>
        <w:tc>
          <w:tcPr>
            <w:tcW w:type="dxa" w:w="230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tcPr>
          <w:p>
            <w:r>
              <w:rPr>
                <w:rFonts w:ascii="Arial" w:cs="Arial" w:eastAsia="Arial" w:hAnsi="Arial"/>
                <w:sz w:val="20"/>
                <w:szCs w:val="20"/>
              </w:rPr>
              <w:t xml:space="preserve">Expediente de jurisdicción voluntaria (art. 156 CC)</w:t>
            </w:r>
          </w:p>
        </w:tc>
        <w:tc>
          <w:tcPr>
            <w:tcW w:type="dxa" w:w="400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tcPr>
          <w:p>
            <w:r>
              <w:rPr>
                <w:rFonts w:ascii="Arial" w:cs="Arial" w:eastAsia="Arial" w:hAnsi="Arial"/>
                <w:sz w:val="20"/>
                <w:szCs w:val="20"/>
              </w:rPr>
              <w:t xml:space="preserve">Cuando el acuerdo es imposible, el art. 156 del Código Civil permite pedir al juez que atribuya a uno de los progenitores la facultad de decidir en ese ámbito concreto. No es un contencioso: es un procedimiento específico, más rápido y menos traumático.</w:t>
            </w:r>
          </w:p>
        </w:tc>
        <w:tc>
          <w:tcPr>
            <w:tcW w:type="dxa" w:w="350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tcPr>
          <w:p>
            <w:r>
              <w:rPr>
                <w:rFonts w:ascii="Arial" w:cs="Arial" w:eastAsia="Arial" w:hAnsi="Arial"/>
                <w:sz w:val="20"/>
                <w:szCs w:val="20"/>
              </w:rPr>
              <w:t xml:space="preserve">Resolución judicial que protege los derechos del menor y de nuestro cliente. El juez escucha al menor si tiene suficiente madurez (art. 9 LOPJM).</w:t>
            </w:r>
          </w:p>
        </w:tc>
      </w:tr>
      <w:tr>
        <w:tc>
          <w:tcPr>
            <w:tcW w:type="dxa" w:w="2300"/>
            <w:tcBorders>
              <w:top w:val="single" w:color="AAAAAA" w:sz="1"/>
              <w:left w:val="single" w:color="AAAAAA" w:sz="1"/>
              <w:bottom w:val="single" w:color="AAAAAA" w:sz="1"/>
              <w:right w:val="single" w:color="AAAAAA" w:sz="1"/>
            </w:tcBorders>
            <w:shd w:fill="F0F4FA" w:val="clear"/>
            <w:tcMar>
              <w:top w:type="dxa" w:w="80"/>
              <w:left w:type="dxa" w:w="120"/>
              <w:bottom w:type="dxa" w:w="80"/>
              <w:right w:type="dxa" w:w="120"/>
            </w:tcMar>
          </w:tcPr>
          <w:p>
            <w:r>
              <w:rPr>
                <w:rFonts w:ascii="Arial" w:cs="Arial" w:eastAsia="Arial" w:hAnsi="Arial"/>
                <w:sz w:val="20"/>
                <w:szCs w:val="20"/>
              </w:rPr>
              <w:t xml:space="preserve">Prevención: cláusulas en el convenio regulador</w:t>
            </w:r>
          </w:p>
        </w:tc>
        <w:tc>
          <w:tcPr>
            <w:tcW w:type="dxa" w:w="4000"/>
            <w:tcBorders>
              <w:top w:val="single" w:color="AAAAAA" w:sz="1"/>
              <w:left w:val="single" w:color="AAAAAA" w:sz="1"/>
              <w:bottom w:val="single" w:color="AAAAAA" w:sz="1"/>
              <w:right w:val="single" w:color="AAAAAA" w:sz="1"/>
            </w:tcBorders>
            <w:shd w:fill="F0F4FA" w:val="clear"/>
            <w:tcMar>
              <w:top w:type="dxa" w:w="80"/>
              <w:left w:type="dxa" w:w="120"/>
              <w:bottom w:type="dxa" w:w="80"/>
              <w:right w:type="dxa" w:w="120"/>
            </w:tcMar>
          </w:tcPr>
          <w:p>
            <w:r>
              <w:rPr>
                <w:rFonts w:ascii="Arial" w:cs="Arial" w:eastAsia="Arial" w:hAnsi="Arial"/>
                <w:sz w:val="20"/>
                <w:szCs w:val="20"/>
              </w:rPr>
              <w:t xml:space="preserve">Si estáis en proceso de separación o divorcio, incluimos en el convenio regulador cláusulas específicas sobre decisiones religiosas, educativas y de valores que evitan conflictos futuros.</w:t>
            </w:r>
          </w:p>
        </w:tc>
        <w:tc>
          <w:tcPr>
            <w:tcW w:type="dxa" w:w="3500"/>
            <w:tcBorders>
              <w:top w:val="single" w:color="AAAAAA" w:sz="1"/>
              <w:left w:val="single" w:color="AAAAAA" w:sz="1"/>
              <w:bottom w:val="single" w:color="AAAAAA" w:sz="1"/>
              <w:right w:val="single" w:color="AAAAAA" w:sz="1"/>
            </w:tcBorders>
            <w:shd w:fill="F0F4FA" w:val="clear"/>
            <w:tcMar>
              <w:top w:type="dxa" w:w="80"/>
              <w:left w:type="dxa" w:w="120"/>
              <w:bottom w:type="dxa" w:w="80"/>
              <w:right w:type="dxa" w:w="120"/>
            </w:tcMar>
          </w:tcPr>
          <w:p>
            <w:r>
              <w:rPr>
                <w:rFonts w:ascii="Arial" w:cs="Arial" w:eastAsia="Arial" w:hAnsi="Arial"/>
                <w:sz w:val="20"/>
                <w:szCs w:val="20"/>
              </w:rPr>
              <w:t xml:space="preserve">Convenio regulador con cobertura expresa para este tipo de decisiones. Menores probabilidades de conflicto posterior.</w:t>
            </w:r>
          </w:p>
        </w:tc>
      </w:tr>
    </w:tbl>
    <w:p>
      <w:pPr>
        <w:spacing w:after="120"/>
      </w:pPr>
      <w:r>
        <w:t xml:space="preserve"/>
      </w:r>
    </w:p>
    <w:p>
      <w:pPr>
        <w:pStyle w:val="Heading2"/>
        <w:spacing w:after="120" w:before="280"/>
      </w:pPr>
      <w:r>
        <w:rPr>
          <w:rFonts w:ascii="Arial" w:cs="Arial" w:eastAsia="Arial" w:hAnsi="Arial"/>
          <w:b/>
          <w:bCs/>
          <w:color w:val="2E75B6"/>
          <w:sz w:val="28"/>
          <w:szCs w:val="28"/>
        </w:rPr>
        <w:t xml:space="preserve">5.6 Sección prueba social</w:t>
      </w:r>
    </w:p>
    <w:p>
      <w:pPr>
        <w:spacing w:after="120"/>
        <w:jc w:val="both"/>
      </w:pPr>
      <w:r>
        <w:rPr>
          <w:rFonts w:ascii="Arial" w:cs="Arial" w:eastAsia="Arial" w:hAnsi="Arial"/>
          <w:b w:val="false"/>
          <w:bCs w:val="false"/>
          <w:color w:val="000000"/>
          <w:sz w:val="22"/>
          <w:szCs w:val="22"/>
        </w:rPr>
        <w:t xml:space="preserve">Estructura para testimonios (una vez disponibles):</w:t>
      </w:r>
    </w:p>
    <w:p>
      <w:pPr>
        <w:pStyle w:val="ListParagraph"/>
        <w:numPr>
          <w:ilvl w:val="0"/>
          <w:numId w:val="3"/>
        </w:numPr>
        <w:spacing w:after="80"/>
      </w:pPr>
      <w:r>
        <w:rPr>
          <w:rFonts w:ascii="Arial" w:cs="Arial" w:eastAsia="Arial" w:hAnsi="Arial"/>
          <w:sz w:val="22"/>
          <w:szCs w:val="22"/>
        </w:rPr>
        <w:t xml:space="preserve">Formato: Foto de perfil genérica (icono) + nombre de pila + inicial del apellido + ciudad (o solo región) + valoración en estrellas + texto del testimonio (3-5 líneas). Ejemplo: 'M.L., Madrid ★★★★★ — Recibí el burofax un viernes. El lunes siguiente ya tenía una respuesta preparada y un plan claro. No imaginaba que esto tuviera una solución tan específica.'</w:t>
      </w:r>
    </w:p>
    <w:p>
      <w:pPr>
        <w:pStyle w:val="ListParagraph"/>
        <w:numPr>
          <w:ilvl w:val="0"/>
          <w:numId w:val="3"/>
        </w:numPr>
        <w:spacing w:after="80"/>
      </w:pPr>
      <w:r>
        <w:rPr>
          <w:rFonts w:ascii="Arial" w:cs="Arial" w:eastAsia="Arial" w:hAnsi="Arial"/>
          <w:sz w:val="22"/>
          <w:szCs w:val="22"/>
        </w:rPr>
        <w:t xml:space="preserve">Para los primeros 90 días: en lugar de testimonios reales (aún no disponibles), usar un caso arquetípico en formato narrativo con el aviso deontológico correspondiente.</w:t>
      </w:r>
    </w:p>
    <w:p>
      <w:pPr>
        <w:pStyle w:val="ListParagraph"/>
        <w:numPr>
          <w:ilvl w:val="0"/>
          <w:numId w:val="3"/>
        </w:numPr>
        <w:spacing w:after="80"/>
      </w:pPr>
      <w:r>
        <w:rPr>
          <w:rFonts w:ascii="Arial" w:cs="Arial" w:eastAsia="Arial" w:hAnsi="Arial"/>
          <w:sz w:val="22"/>
          <w:szCs w:val="22"/>
        </w:rPr>
        <w:t xml:space="preserve">Alternativamente: citar las fuentes jurídicas como 'prueba de autoridad': 'Basamos nuestra práctica en jurisprudencia del Tribunal Supremo (STS 465/2015) y del Tribunal Constitucional (STC 5/2023, STC 119/2025).' Más sólido deontológicamente que testimonios inventados.</w:t>
      </w:r>
    </w:p>
    <w:p>
      <w:pPr>
        <w:spacing w:after="120"/>
      </w:pPr>
      <w:r>
        <w:t xml:space="preserve"/>
      </w:r>
    </w:p>
    <w:p>
      <w:pPr>
        <w:pStyle w:val="Heading2"/>
        <w:spacing w:after="120" w:before="280"/>
      </w:pPr>
      <w:r>
        <w:rPr>
          <w:rFonts w:ascii="Arial" w:cs="Arial" w:eastAsia="Arial" w:hAnsi="Arial"/>
          <w:b/>
          <w:bCs/>
          <w:color w:val="2E75B6"/>
          <w:sz w:val="28"/>
          <w:szCs w:val="28"/>
        </w:rPr>
        <w:t xml:space="preserve">5.7 FAQ — 8 preguntas frecuentes</w:t>
      </w:r>
    </w:p>
    <w:p>
      <w:pPr>
        <w:spacing w:after="120"/>
        <w:jc w:val="both"/>
      </w:pPr>
      <w:r>
        <w:rPr>
          <w:rFonts w:ascii="Arial" w:cs="Arial" w:eastAsia="Arial" w:hAnsi="Arial"/>
          <w:b/>
          <w:bCs/>
          <w:color w:val="2E75B6"/>
          <w:sz w:val="22"/>
          <w:szCs w:val="22"/>
        </w:rPr>
        <w:t xml:space="preserve">P1: </w:t>
      </w:r>
      <w:r>
        <w:rPr>
          <w:rFonts w:ascii="Arial" w:cs="Arial" w:eastAsia="Arial" w:hAnsi="Arial"/>
          <w:b/>
          <w:bCs/>
          <w:sz w:val="22"/>
          <w:szCs w:val="22"/>
        </w:rPr>
        <w:t xml:space="preserve">¿Necesita realmente el acuerdo de los dos padres para que mi hijo haga la Primera Comunión?</w:t>
      </w:r>
    </w:p>
    <w:p>
      <w:pPr>
        <w:spacing w:after="120"/>
        <w:jc w:val="both"/>
      </w:pPr>
      <w:r>
        <w:rPr>
          <w:rFonts w:ascii="Arial" w:cs="Arial" w:eastAsia="Arial" w:hAnsi="Arial"/>
          <w:b w:val="false"/>
          <w:bCs w:val="false"/>
          <w:color w:val="000000"/>
          <w:sz w:val="22"/>
          <w:szCs w:val="22"/>
        </w:rPr>
        <w:t xml:space="preserve">Sí. El Tribunal Supremo estableció en la STS 465/2015 que los sacramentos de relevancia —incluida la Primera Comunión y el Bautismo— son decisiones de patria potestad conjunta. No pueden adoptarse unilateralmente si existe oposición del otro progenitor. Si hay desacuerdo, cualquiera de los dos puede acudir al juzgado a través del expediente del artículo 156 del Código Civil.</w:t>
      </w:r>
    </w:p>
    <w:p>
      <w:pPr>
        <w:spacing w:after="120"/>
      </w:pPr>
      <w:r>
        <w:t xml:space="preserve"/>
      </w:r>
    </w:p>
    <w:p>
      <w:pPr>
        <w:spacing w:after="120"/>
        <w:jc w:val="both"/>
      </w:pPr>
      <w:r>
        <w:rPr>
          <w:rFonts w:ascii="Arial" w:cs="Arial" w:eastAsia="Arial" w:hAnsi="Arial"/>
          <w:b/>
          <w:bCs/>
          <w:color w:val="2E75B6"/>
          <w:sz w:val="22"/>
          <w:szCs w:val="22"/>
        </w:rPr>
        <w:t xml:space="preserve">P2: </w:t>
      </w:r>
      <w:r>
        <w:rPr>
          <w:rFonts w:ascii="Arial" w:cs="Arial" w:eastAsia="Arial" w:hAnsi="Arial"/>
          <w:b/>
          <w:bCs/>
          <w:sz w:val="22"/>
          <w:szCs w:val="22"/>
        </w:rPr>
        <w:t xml:space="preserve">¿Qué puedo hacer si tengo 10 días para responder a un burofax sobre este tema?</w:t>
      </w:r>
    </w:p>
    <w:p>
      <w:pPr>
        <w:spacing w:after="120"/>
        <w:jc w:val="both"/>
      </w:pPr>
      <w:r>
        <w:rPr>
          <w:rFonts w:ascii="Arial" w:cs="Arial" w:eastAsia="Arial" w:hAnsi="Arial"/>
          <w:b w:val="false"/>
          <w:bCs w:val="false"/>
          <w:color w:val="000000"/>
          <w:sz w:val="22"/>
          <w:szCs w:val="22"/>
        </w:rPr>
        <w:t xml:space="preserve">Lo primero es no ignorarlo. Una respuesta adecuada al burofax puede marcar la diferencia entre resolver el conflicto de forma negociada o escalarlo al juzgado. En nuestra primera consulta revisamos el burofax completo, valoramos tu posición jurídica y redactamos la respuesta dentro del plazo.</w:t>
      </w:r>
    </w:p>
    <w:p>
      <w:pPr>
        <w:spacing w:after="120"/>
      </w:pPr>
      <w:r>
        <w:t xml:space="preserve"/>
      </w:r>
    </w:p>
    <w:p>
      <w:pPr>
        <w:spacing w:after="120"/>
        <w:jc w:val="both"/>
      </w:pPr>
      <w:r>
        <w:rPr>
          <w:rFonts w:ascii="Arial" w:cs="Arial" w:eastAsia="Arial" w:hAnsi="Arial"/>
          <w:b/>
          <w:bCs/>
          <w:color w:val="2E75B6"/>
          <w:sz w:val="22"/>
          <w:szCs w:val="22"/>
        </w:rPr>
        <w:t xml:space="preserve">P3: </w:t>
      </w:r>
      <w:r>
        <w:rPr>
          <w:rFonts w:ascii="Arial" w:cs="Arial" w:eastAsia="Arial" w:hAnsi="Arial"/>
          <w:b/>
          <w:bCs/>
          <w:sz w:val="22"/>
          <w:szCs w:val="22"/>
        </w:rPr>
        <w:t xml:space="preserve">¿Puedo impedir que mi hijo haga la comunión si no estoy de acuerdo?</w:t>
      </w:r>
    </w:p>
    <w:p>
      <w:pPr>
        <w:spacing w:after="120"/>
        <w:jc w:val="both"/>
      </w:pPr>
      <w:r>
        <w:rPr>
          <w:rFonts w:ascii="Arial" w:cs="Arial" w:eastAsia="Arial" w:hAnsi="Arial"/>
          <w:b w:val="false"/>
          <w:bCs w:val="false"/>
          <w:color w:val="000000"/>
          <w:sz w:val="22"/>
          <w:szCs w:val="22"/>
        </w:rPr>
        <w:t xml:space="preserve">Depende de las circunstancias. Si el menor tiene 9 años o más y expresa un deseo claro de hacerla, el juez valorará su opinión. Si eres el progenitor que se opone, debes poder acreditar una razón que no sea meramente ideológica o de principio, ya que la jurisprudencia reciente (STC 119/2025) protege también la libertad de conciencia del menor.</w:t>
      </w:r>
    </w:p>
    <w:p>
      <w:pPr>
        <w:spacing w:after="120"/>
      </w:pPr>
      <w:r>
        <w:t xml:space="preserve"/>
      </w:r>
    </w:p>
    <w:p>
      <w:pPr>
        <w:spacing w:after="120"/>
        <w:jc w:val="both"/>
      </w:pPr>
      <w:r>
        <w:rPr>
          <w:rFonts w:ascii="Arial" w:cs="Arial" w:eastAsia="Arial" w:hAnsi="Arial"/>
          <w:b/>
          <w:bCs/>
          <w:color w:val="2E75B6"/>
          <w:sz w:val="22"/>
          <w:szCs w:val="22"/>
        </w:rPr>
        <w:t xml:space="preserve">P4: </w:t>
      </w:r>
      <w:r>
        <w:rPr>
          <w:rFonts w:ascii="Arial" w:cs="Arial" w:eastAsia="Arial" w:hAnsi="Arial"/>
          <w:b/>
          <w:bCs/>
          <w:sz w:val="22"/>
          <w:szCs w:val="22"/>
        </w:rPr>
        <w:t xml:space="preserve">¿Cuánto tiempo tarda el expediente de jurisdicción voluntaria del artículo 156?</w:t>
      </w:r>
    </w:p>
    <w:p>
      <w:pPr>
        <w:spacing w:after="120"/>
        <w:jc w:val="both"/>
      </w:pPr>
      <w:r>
        <w:rPr>
          <w:rFonts w:ascii="Arial" w:cs="Arial" w:eastAsia="Arial" w:hAnsi="Arial"/>
          <w:b w:val="false"/>
          <w:bCs w:val="false"/>
          <w:color w:val="000000"/>
          <w:sz w:val="22"/>
          <w:szCs w:val="22"/>
        </w:rPr>
        <w:t xml:space="preserve">Es un procedimiento más ágil que el contencioso. En muchos juzgados de primera instancia el plazo de resolución oscila entre 1 y 3 meses, dependiendo de la carga del juzgado y de la urgencia del asunto. Si la fecha del sacramento es próxima, existe la posibilidad de solicitar medidas cautelares urgentes. [Supuesto a validar por JC con experiencia local.]</w:t>
      </w:r>
    </w:p>
    <w:p>
      <w:pPr>
        <w:spacing w:after="120"/>
      </w:pPr>
      <w:r>
        <w:t xml:space="preserve"/>
      </w:r>
    </w:p>
    <w:p>
      <w:pPr>
        <w:spacing w:after="120"/>
        <w:jc w:val="both"/>
      </w:pPr>
      <w:r>
        <w:rPr>
          <w:rFonts w:ascii="Arial" w:cs="Arial" w:eastAsia="Arial" w:hAnsi="Arial"/>
          <w:b/>
          <w:bCs/>
          <w:color w:val="2E75B6"/>
          <w:sz w:val="22"/>
          <w:szCs w:val="22"/>
        </w:rPr>
        <w:t xml:space="preserve">P5: </w:t>
      </w:r>
      <w:r>
        <w:rPr>
          <w:rFonts w:ascii="Arial" w:cs="Arial" w:eastAsia="Arial" w:hAnsi="Arial"/>
          <w:b/>
          <w:bCs/>
          <w:sz w:val="22"/>
          <w:szCs w:val="22"/>
        </w:rPr>
        <w:t xml:space="preserve">¿Es mejor intentar la mediación o ir directamente al juzgado?</w:t>
      </w:r>
    </w:p>
    <w:p>
      <w:pPr>
        <w:spacing w:after="120"/>
        <w:jc w:val="both"/>
      </w:pPr>
      <w:r>
        <w:rPr>
          <w:rFonts w:ascii="Arial" w:cs="Arial" w:eastAsia="Arial" w:hAnsi="Arial"/>
          <w:b w:val="false"/>
          <w:bCs w:val="false"/>
          <w:color w:val="000000"/>
          <w:sz w:val="22"/>
          <w:szCs w:val="22"/>
        </w:rPr>
        <w:t xml:space="preserve">Depende de si existe voluntad negociadora en ambas partes. La mediación es más rápida y menos costosa, y el acuerdo que se obtiene tiene eficacia jurídica si se formaliza correctamente. Si el otro progenitor rechaza la mediación o la situación es urgente (sacramento inminente), la vía judicial puede ser necesaria desde el principio.</w:t>
      </w:r>
    </w:p>
    <w:p>
      <w:pPr>
        <w:spacing w:after="120"/>
      </w:pPr>
      <w:r>
        <w:t xml:space="preserve"/>
      </w:r>
    </w:p>
    <w:p>
      <w:pPr>
        <w:spacing w:after="120"/>
        <w:jc w:val="both"/>
      </w:pPr>
      <w:r>
        <w:rPr>
          <w:rFonts w:ascii="Arial" w:cs="Arial" w:eastAsia="Arial" w:hAnsi="Arial"/>
          <w:b/>
          <w:bCs/>
          <w:color w:val="2E75B6"/>
          <w:sz w:val="22"/>
          <w:szCs w:val="22"/>
        </w:rPr>
        <w:t xml:space="preserve">P6: </w:t>
      </w:r>
      <w:r>
        <w:rPr>
          <w:rFonts w:ascii="Arial" w:cs="Arial" w:eastAsia="Arial" w:hAnsi="Arial"/>
          <w:b/>
          <w:bCs/>
          <w:sz w:val="22"/>
          <w:szCs w:val="22"/>
        </w:rPr>
        <w:t xml:space="preserve">¿El abogado que contrate puede hablar directamente con el abogado del otro progenitor?</w:t>
      </w:r>
    </w:p>
    <w:p>
      <w:pPr>
        <w:spacing w:after="120"/>
        <w:jc w:val="both"/>
      </w:pPr>
      <w:r>
        <w:rPr>
          <w:rFonts w:ascii="Arial" w:cs="Arial" w:eastAsia="Arial" w:hAnsi="Arial"/>
          <w:b w:val="false"/>
          <w:bCs w:val="false"/>
          <w:color w:val="000000"/>
          <w:sz w:val="22"/>
          <w:szCs w:val="22"/>
        </w:rPr>
        <w:t xml:space="preserve">Sí, y en muchos casos es la vía más eficaz para explorar un acuerdo sin necesidad de ir al juzgado. La comunicación entre letrados (burofax, correo formal) es una herramienta habitual en estos conflictos. El objetivo es resolver, no escalar.</w:t>
      </w:r>
    </w:p>
    <w:p>
      <w:pPr>
        <w:spacing w:after="120"/>
      </w:pPr>
      <w:r>
        <w:t xml:space="preserve"/>
      </w:r>
    </w:p>
    <w:p>
      <w:pPr>
        <w:spacing w:after="120"/>
        <w:jc w:val="both"/>
      </w:pPr>
      <w:r>
        <w:rPr>
          <w:rFonts w:ascii="Arial" w:cs="Arial" w:eastAsia="Arial" w:hAnsi="Arial"/>
          <w:b/>
          <w:bCs/>
          <w:color w:val="2E75B6"/>
          <w:sz w:val="22"/>
          <w:szCs w:val="22"/>
        </w:rPr>
        <w:t xml:space="preserve">P7: </w:t>
      </w:r>
      <w:r>
        <w:rPr>
          <w:rFonts w:ascii="Arial" w:cs="Arial" w:eastAsia="Arial" w:hAnsi="Arial"/>
          <w:b/>
          <w:bCs/>
          <w:sz w:val="22"/>
          <w:szCs w:val="22"/>
        </w:rPr>
        <w:t xml:space="preserve">¿Puede el juez escuchar a mi hijo en este proceso?</w:t>
      </w:r>
    </w:p>
    <w:p>
      <w:pPr>
        <w:spacing w:after="120"/>
        <w:jc w:val="both"/>
      </w:pPr>
      <w:r>
        <w:rPr>
          <w:rFonts w:ascii="Arial" w:cs="Arial" w:eastAsia="Arial" w:hAnsi="Arial"/>
          <w:b w:val="false"/>
          <w:bCs w:val="false"/>
          <w:color w:val="000000"/>
          <w:sz w:val="22"/>
          <w:szCs w:val="22"/>
        </w:rPr>
        <w:t xml:space="preserve">Sí. El artículo 9 de la Ley Orgánica de Protección Jurídica del Menor reconoce el derecho del menor a ser oído. En expedientes de jurisdicción voluntaria sobre patria potestad, el juez puede —y en muchos casos debe— explorar la opinión del menor si tiene suficiente madurez. En un niño de 9 años, esta exploración puede ser determinante para el resultado.</w:t>
      </w:r>
    </w:p>
    <w:p>
      <w:pPr>
        <w:spacing w:after="120"/>
      </w:pPr>
      <w:r>
        <w:t xml:space="preserve"/>
      </w:r>
    </w:p>
    <w:p>
      <w:pPr>
        <w:spacing w:after="120"/>
        <w:jc w:val="both"/>
      </w:pPr>
      <w:r>
        <w:rPr>
          <w:rFonts w:ascii="Arial" w:cs="Arial" w:eastAsia="Arial" w:hAnsi="Arial"/>
          <w:b/>
          <w:bCs/>
          <w:color w:val="2E75B6"/>
          <w:sz w:val="22"/>
          <w:szCs w:val="22"/>
        </w:rPr>
        <w:t xml:space="preserve">P8: </w:t>
      </w:r>
      <w:r>
        <w:rPr>
          <w:rFonts w:ascii="Arial" w:cs="Arial" w:eastAsia="Arial" w:hAnsi="Arial"/>
          <w:b/>
          <w:bCs/>
          <w:sz w:val="22"/>
          <w:szCs w:val="22"/>
        </w:rPr>
        <w:t xml:space="preserve">¿Cuánto cuesta la primera consulta?</w:t>
      </w:r>
    </w:p>
    <w:p>
      <w:pPr>
        <w:spacing w:after="120"/>
        <w:jc w:val="both"/>
      </w:pPr>
      <w:r>
        <w:rPr>
          <w:rFonts w:ascii="Arial" w:cs="Arial" w:eastAsia="Arial" w:hAnsi="Arial"/>
          <w:b w:val="false"/>
          <w:bCs w:val="false"/>
          <w:color w:val="000000"/>
          <w:sz w:val="22"/>
          <w:szCs w:val="22"/>
        </w:rPr>
        <w:t xml:space="preserve">La primera consulta tiene un precio fijo de [X €]. [Supuesto a validar por JC.] Dura entre 45 y 60 minutos, es presencial o por videoconferencia, e incluye un análisis de tu situación y un plan de acción con las opciones disponibles. Si decides seguir adelante, ese importe se descuenta de los honorarios del encargo.</w:t>
      </w:r>
    </w:p>
    <w:p>
      <w:pPr>
        <w:spacing w:after="120"/>
      </w:pPr>
      <w:r>
        <w:t xml:space="preserve"/>
      </w:r>
    </w:p>
    <w:p>
      <w:pPr>
        <w:pStyle w:val="Heading2"/>
        <w:spacing w:after="120" w:before="280"/>
      </w:pPr>
      <w:r>
        <w:rPr>
          <w:rFonts w:ascii="Arial" w:cs="Arial" w:eastAsia="Arial" w:hAnsi="Arial"/>
          <w:b/>
          <w:bCs/>
          <w:color w:val="2E75B6"/>
          <w:sz w:val="28"/>
          <w:szCs w:val="28"/>
        </w:rPr>
        <w:t xml:space="preserve">5.8 Formulario de contacto</w:t>
      </w:r>
    </w:p>
    <w:tbl>
      <w:tblPr>
        <w:tblW w:type="dxa" w:w="9800"/>
        <w:tblBorders>
          <w:top w:val="single" w:color="auto" w:sz="4"/>
          <w:left w:val="single" w:color="auto" w:sz="4"/>
          <w:bottom w:val="single" w:color="auto" w:sz="4"/>
          <w:right w:val="single" w:color="auto" w:sz="4"/>
          <w:insideH w:val="single" w:color="auto" w:sz="4"/>
          <w:insideV w:val="single" w:color="auto" w:sz="4"/>
        </w:tblBorders>
      </w:tblPr>
      <w:tblGrid>
        <w:gridCol w:w="2500"/>
        <w:gridCol w:w="1800"/>
        <w:gridCol w:w="1800"/>
        <w:gridCol w:w="3700"/>
      </w:tblGrid>
      <w:tr>
        <w:trPr>
          <w:tblHeader/>
        </w:trPr>
        <w:tc>
          <w:tcPr>
            <w:tcW w:type="dxa" w:w="2500"/>
            <w:tcBorders>
              <w:top w:val="single" w:color="AAAAAA" w:sz="1"/>
              <w:left w:val="single" w:color="AAAAAA" w:sz="1"/>
              <w:bottom w:val="single" w:color="AAAAAA" w:sz="1"/>
              <w:right w:val="single" w:color="AAAAAA" w:sz="1"/>
            </w:tcBorders>
            <w:shd w:fill="1F4E79" w:val="clear"/>
            <w:tcMar>
              <w:top w:type="dxa" w:w="80"/>
              <w:left w:type="dxa" w:w="120"/>
              <w:bottom w:type="dxa" w:w="80"/>
              <w:right w:type="dxa" w:w="120"/>
            </w:tcMar>
            <w:vAlign w:val="center"/>
          </w:tcPr>
          <w:p>
            <w:pPr>
              <w:jc w:val="center"/>
            </w:pPr>
            <w:r>
              <w:rPr>
                <w:rFonts w:ascii="Arial" w:cs="Arial" w:eastAsia="Arial" w:hAnsi="Arial"/>
                <w:b/>
                <w:bCs/>
                <w:color w:val="FFFFFF"/>
                <w:sz w:val="20"/>
                <w:szCs w:val="20"/>
              </w:rPr>
              <w:t xml:space="preserve">Campo</w:t>
            </w:r>
          </w:p>
        </w:tc>
        <w:tc>
          <w:tcPr>
            <w:tcW w:type="dxa" w:w="1800"/>
            <w:tcBorders>
              <w:top w:val="single" w:color="AAAAAA" w:sz="1"/>
              <w:left w:val="single" w:color="AAAAAA" w:sz="1"/>
              <w:bottom w:val="single" w:color="AAAAAA" w:sz="1"/>
              <w:right w:val="single" w:color="AAAAAA" w:sz="1"/>
            </w:tcBorders>
            <w:shd w:fill="1F4E79" w:val="clear"/>
            <w:tcMar>
              <w:top w:type="dxa" w:w="80"/>
              <w:left w:type="dxa" w:w="120"/>
              <w:bottom w:type="dxa" w:w="80"/>
              <w:right w:type="dxa" w:w="120"/>
            </w:tcMar>
            <w:vAlign w:val="center"/>
          </w:tcPr>
          <w:p>
            <w:pPr>
              <w:jc w:val="center"/>
            </w:pPr>
            <w:r>
              <w:rPr>
                <w:rFonts w:ascii="Arial" w:cs="Arial" w:eastAsia="Arial" w:hAnsi="Arial"/>
                <w:b/>
                <w:bCs/>
                <w:color w:val="FFFFFF"/>
                <w:sz w:val="20"/>
                <w:szCs w:val="20"/>
              </w:rPr>
              <w:t xml:space="preserve">Tipo</w:t>
            </w:r>
          </w:p>
        </w:tc>
        <w:tc>
          <w:tcPr>
            <w:tcW w:type="dxa" w:w="1800"/>
            <w:tcBorders>
              <w:top w:val="single" w:color="AAAAAA" w:sz="1"/>
              <w:left w:val="single" w:color="AAAAAA" w:sz="1"/>
              <w:bottom w:val="single" w:color="AAAAAA" w:sz="1"/>
              <w:right w:val="single" w:color="AAAAAA" w:sz="1"/>
            </w:tcBorders>
            <w:shd w:fill="1F4E79" w:val="clear"/>
            <w:tcMar>
              <w:top w:type="dxa" w:w="80"/>
              <w:left w:type="dxa" w:w="120"/>
              <w:bottom w:type="dxa" w:w="80"/>
              <w:right w:type="dxa" w:w="120"/>
            </w:tcMar>
            <w:vAlign w:val="center"/>
          </w:tcPr>
          <w:p>
            <w:pPr>
              <w:jc w:val="center"/>
            </w:pPr>
            <w:r>
              <w:rPr>
                <w:rFonts w:ascii="Arial" w:cs="Arial" w:eastAsia="Arial" w:hAnsi="Arial"/>
                <w:b/>
                <w:bCs/>
                <w:color w:val="FFFFFF"/>
                <w:sz w:val="20"/>
                <w:szCs w:val="20"/>
              </w:rPr>
              <w:t xml:space="preserve">Obligatorio</w:t>
            </w:r>
          </w:p>
        </w:tc>
        <w:tc>
          <w:tcPr>
            <w:tcW w:type="dxa" w:w="3700"/>
            <w:tcBorders>
              <w:top w:val="single" w:color="AAAAAA" w:sz="1"/>
              <w:left w:val="single" w:color="AAAAAA" w:sz="1"/>
              <w:bottom w:val="single" w:color="AAAAAA" w:sz="1"/>
              <w:right w:val="single" w:color="AAAAAA" w:sz="1"/>
            </w:tcBorders>
            <w:shd w:fill="1F4E79" w:val="clear"/>
            <w:tcMar>
              <w:top w:type="dxa" w:w="80"/>
              <w:left w:type="dxa" w:w="120"/>
              <w:bottom w:type="dxa" w:w="80"/>
              <w:right w:type="dxa" w:w="120"/>
            </w:tcMar>
            <w:vAlign w:val="center"/>
          </w:tcPr>
          <w:p>
            <w:pPr>
              <w:jc w:val="center"/>
            </w:pPr>
            <w:r>
              <w:rPr>
                <w:rFonts w:ascii="Arial" w:cs="Arial" w:eastAsia="Arial" w:hAnsi="Arial"/>
                <w:b/>
                <w:bCs/>
                <w:color w:val="FFFFFF"/>
                <w:sz w:val="20"/>
                <w:szCs w:val="20"/>
              </w:rPr>
              <w:t xml:space="preserve">Notas</w:t>
            </w:r>
          </w:p>
        </w:tc>
      </w:tr>
      <w:tr>
        <w:tc>
          <w:tcPr>
            <w:tcW w:type="dxa" w:w="250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tcPr>
          <w:p>
            <w:r>
              <w:rPr>
                <w:rFonts w:ascii="Arial" w:cs="Arial" w:eastAsia="Arial" w:hAnsi="Arial"/>
                <w:sz w:val="20"/>
                <w:szCs w:val="20"/>
              </w:rPr>
              <w:t xml:space="preserve">Nombre</w:t>
            </w:r>
          </w:p>
        </w:tc>
        <w:tc>
          <w:tcPr>
            <w:tcW w:type="dxa" w:w="180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tcPr>
          <w:p>
            <w:r>
              <w:rPr>
                <w:rFonts w:ascii="Arial" w:cs="Arial" w:eastAsia="Arial" w:hAnsi="Arial"/>
                <w:sz w:val="20"/>
                <w:szCs w:val="20"/>
              </w:rPr>
              <w:t xml:space="preserve">Texto libre</w:t>
            </w:r>
          </w:p>
        </w:tc>
        <w:tc>
          <w:tcPr>
            <w:tcW w:type="dxa" w:w="180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tcPr>
          <w:p>
            <w:r>
              <w:rPr>
                <w:rFonts w:ascii="Arial" w:cs="Arial" w:eastAsia="Arial" w:hAnsi="Arial"/>
                <w:sz w:val="20"/>
                <w:szCs w:val="20"/>
              </w:rPr>
              <w:t xml:space="preserve">Sí</w:t>
            </w:r>
          </w:p>
        </w:tc>
        <w:tc>
          <w:tcPr>
            <w:tcW w:type="dxa" w:w="370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tcPr>
          <w:p>
            <w:r>
              <w:rPr>
                <w:rFonts w:ascii="Arial" w:cs="Arial" w:eastAsia="Arial" w:hAnsi="Arial"/>
                <w:sz w:val="20"/>
                <w:szCs w:val="20"/>
              </w:rPr>
              <w:t xml:space="preserve"/>
            </w:r>
          </w:p>
        </w:tc>
      </w:tr>
      <w:tr>
        <w:tc>
          <w:tcPr>
            <w:tcW w:type="dxa" w:w="2500"/>
            <w:tcBorders>
              <w:top w:val="single" w:color="AAAAAA" w:sz="1"/>
              <w:left w:val="single" w:color="AAAAAA" w:sz="1"/>
              <w:bottom w:val="single" w:color="AAAAAA" w:sz="1"/>
              <w:right w:val="single" w:color="AAAAAA" w:sz="1"/>
            </w:tcBorders>
            <w:shd w:fill="F0F4FA" w:val="clear"/>
            <w:tcMar>
              <w:top w:type="dxa" w:w="80"/>
              <w:left w:type="dxa" w:w="120"/>
              <w:bottom w:type="dxa" w:w="80"/>
              <w:right w:type="dxa" w:w="120"/>
            </w:tcMar>
          </w:tcPr>
          <w:p>
            <w:r>
              <w:rPr>
                <w:rFonts w:ascii="Arial" w:cs="Arial" w:eastAsia="Arial" w:hAnsi="Arial"/>
                <w:sz w:val="20"/>
                <w:szCs w:val="20"/>
              </w:rPr>
              <w:t xml:space="preserve">Email</w:t>
            </w:r>
          </w:p>
        </w:tc>
        <w:tc>
          <w:tcPr>
            <w:tcW w:type="dxa" w:w="1800"/>
            <w:tcBorders>
              <w:top w:val="single" w:color="AAAAAA" w:sz="1"/>
              <w:left w:val="single" w:color="AAAAAA" w:sz="1"/>
              <w:bottom w:val="single" w:color="AAAAAA" w:sz="1"/>
              <w:right w:val="single" w:color="AAAAAA" w:sz="1"/>
            </w:tcBorders>
            <w:shd w:fill="F0F4FA" w:val="clear"/>
            <w:tcMar>
              <w:top w:type="dxa" w:w="80"/>
              <w:left w:type="dxa" w:w="120"/>
              <w:bottom w:type="dxa" w:w="80"/>
              <w:right w:type="dxa" w:w="120"/>
            </w:tcMar>
          </w:tcPr>
          <w:p>
            <w:r>
              <w:rPr>
                <w:rFonts w:ascii="Arial" w:cs="Arial" w:eastAsia="Arial" w:hAnsi="Arial"/>
                <w:sz w:val="20"/>
                <w:szCs w:val="20"/>
              </w:rPr>
              <w:t xml:space="preserve">Email</w:t>
            </w:r>
          </w:p>
        </w:tc>
        <w:tc>
          <w:tcPr>
            <w:tcW w:type="dxa" w:w="1800"/>
            <w:tcBorders>
              <w:top w:val="single" w:color="AAAAAA" w:sz="1"/>
              <w:left w:val="single" w:color="AAAAAA" w:sz="1"/>
              <w:bottom w:val="single" w:color="AAAAAA" w:sz="1"/>
              <w:right w:val="single" w:color="AAAAAA" w:sz="1"/>
            </w:tcBorders>
            <w:shd w:fill="F0F4FA" w:val="clear"/>
            <w:tcMar>
              <w:top w:type="dxa" w:w="80"/>
              <w:left w:type="dxa" w:w="120"/>
              <w:bottom w:type="dxa" w:w="80"/>
              <w:right w:type="dxa" w:w="120"/>
            </w:tcMar>
          </w:tcPr>
          <w:p>
            <w:r>
              <w:rPr>
                <w:rFonts w:ascii="Arial" w:cs="Arial" w:eastAsia="Arial" w:hAnsi="Arial"/>
                <w:sz w:val="20"/>
                <w:szCs w:val="20"/>
              </w:rPr>
              <w:t xml:space="preserve">Sí</w:t>
            </w:r>
          </w:p>
        </w:tc>
        <w:tc>
          <w:tcPr>
            <w:tcW w:type="dxa" w:w="3700"/>
            <w:tcBorders>
              <w:top w:val="single" w:color="AAAAAA" w:sz="1"/>
              <w:left w:val="single" w:color="AAAAAA" w:sz="1"/>
              <w:bottom w:val="single" w:color="AAAAAA" w:sz="1"/>
              <w:right w:val="single" w:color="AAAAAA" w:sz="1"/>
            </w:tcBorders>
            <w:shd w:fill="F0F4FA" w:val="clear"/>
            <w:tcMar>
              <w:top w:type="dxa" w:w="80"/>
              <w:left w:type="dxa" w:w="120"/>
              <w:bottom w:type="dxa" w:w="80"/>
              <w:right w:type="dxa" w:w="120"/>
            </w:tcMar>
          </w:tcPr>
          <w:p>
            <w:r>
              <w:rPr>
                <w:rFonts w:ascii="Arial" w:cs="Arial" w:eastAsia="Arial" w:hAnsi="Arial"/>
                <w:sz w:val="20"/>
                <w:szCs w:val="20"/>
              </w:rPr>
              <w:t xml:space="preserve">Validación de formato</w:t>
            </w:r>
          </w:p>
        </w:tc>
      </w:tr>
      <w:tr>
        <w:tc>
          <w:tcPr>
            <w:tcW w:type="dxa" w:w="250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tcPr>
          <w:p>
            <w:r>
              <w:rPr>
                <w:rFonts w:ascii="Arial" w:cs="Arial" w:eastAsia="Arial" w:hAnsi="Arial"/>
                <w:sz w:val="20"/>
                <w:szCs w:val="20"/>
              </w:rPr>
              <w:t xml:space="preserve">Teléfono</w:t>
            </w:r>
          </w:p>
        </w:tc>
        <w:tc>
          <w:tcPr>
            <w:tcW w:type="dxa" w:w="180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tcPr>
          <w:p>
            <w:r>
              <w:rPr>
                <w:rFonts w:ascii="Arial" w:cs="Arial" w:eastAsia="Arial" w:hAnsi="Arial"/>
                <w:sz w:val="20"/>
                <w:szCs w:val="20"/>
              </w:rPr>
              <w:t xml:space="preserve">Teléfono</w:t>
            </w:r>
          </w:p>
        </w:tc>
        <w:tc>
          <w:tcPr>
            <w:tcW w:type="dxa" w:w="180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tcPr>
          <w:p>
            <w:r>
              <w:rPr>
                <w:rFonts w:ascii="Arial" w:cs="Arial" w:eastAsia="Arial" w:hAnsi="Arial"/>
                <w:sz w:val="20"/>
                <w:szCs w:val="20"/>
              </w:rPr>
              <w:t xml:space="preserve">No</w:t>
            </w:r>
          </w:p>
        </w:tc>
        <w:tc>
          <w:tcPr>
            <w:tcW w:type="dxa" w:w="370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tcPr>
          <w:p>
            <w:r>
              <w:rPr>
                <w:rFonts w:ascii="Arial" w:cs="Arial" w:eastAsia="Arial" w:hAnsi="Arial"/>
                <w:sz w:val="20"/>
                <w:szCs w:val="20"/>
              </w:rPr>
              <w:t xml:space="preserve">Opcional; aumenta la tasa de llamadas</w:t>
            </w:r>
          </w:p>
        </w:tc>
      </w:tr>
      <w:tr>
        <w:tc>
          <w:tcPr>
            <w:tcW w:type="dxa" w:w="2500"/>
            <w:tcBorders>
              <w:top w:val="single" w:color="AAAAAA" w:sz="1"/>
              <w:left w:val="single" w:color="AAAAAA" w:sz="1"/>
              <w:bottom w:val="single" w:color="AAAAAA" w:sz="1"/>
              <w:right w:val="single" w:color="AAAAAA" w:sz="1"/>
            </w:tcBorders>
            <w:shd w:fill="F0F4FA" w:val="clear"/>
            <w:tcMar>
              <w:top w:type="dxa" w:w="80"/>
              <w:left w:type="dxa" w:w="120"/>
              <w:bottom w:type="dxa" w:w="80"/>
              <w:right w:type="dxa" w:w="120"/>
            </w:tcMar>
          </w:tcPr>
          <w:p>
            <w:r>
              <w:rPr>
                <w:rFonts w:ascii="Arial" w:cs="Arial" w:eastAsia="Arial" w:hAnsi="Arial"/>
                <w:sz w:val="20"/>
                <w:szCs w:val="20"/>
              </w:rPr>
              <w:t xml:space="preserve">Cuéntame brevemente tu situación</w:t>
            </w:r>
          </w:p>
        </w:tc>
        <w:tc>
          <w:tcPr>
            <w:tcW w:type="dxa" w:w="1800"/>
            <w:tcBorders>
              <w:top w:val="single" w:color="AAAAAA" w:sz="1"/>
              <w:left w:val="single" w:color="AAAAAA" w:sz="1"/>
              <w:bottom w:val="single" w:color="AAAAAA" w:sz="1"/>
              <w:right w:val="single" w:color="AAAAAA" w:sz="1"/>
            </w:tcBorders>
            <w:shd w:fill="F0F4FA" w:val="clear"/>
            <w:tcMar>
              <w:top w:type="dxa" w:w="80"/>
              <w:left w:type="dxa" w:w="120"/>
              <w:bottom w:type="dxa" w:w="80"/>
              <w:right w:type="dxa" w:w="120"/>
            </w:tcMar>
          </w:tcPr>
          <w:p>
            <w:r>
              <w:rPr>
                <w:rFonts w:ascii="Arial" w:cs="Arial" w:eastAsia="Arial" w:hAnsi="Arial"/>
                <w:sz w:val="20"/>
                <w:szCs w:val="20"/>
              </w:rPr>
              <w:t xml:space="preserve">Textarea (máx. 500 caracteres)</w:t>
            </w:r>
          </w:p>
        </w:tc>
        <w:tc>
          <w:tcPr>
            <w:tcW w:type="dxa" w:w="1800"/>
            <w:tcBorders>
              <w:top w:val="single" w:color="AAAAAA" w:sz="1"/>
              <w:left w:val="single" w:color="AAAAAA" w:sz="1"/>
              <w:bottom w:val="single" w:color="AAAAAA" w:sz="1"/>
              <w:right w:val="single" w:color="AAAAAA" w:sz="1"/>
            </w:tcBorders>
            <w:shd w:fill="F0F4FA" w:val="clear"/>
            <w:tcMar>
              <w:top w:type="dxa" w:w="80"/>
              <w:left w:type="dxa" w:w="120"/>
              <w:bottom w:type="dxa" w:w="80"/>
              <w:right w:type="dxa" w:w="120"/>
            </w:tcMar>
          </w:tcPr>
          <w:p>
            <w:r>
              <w:rPr>
                <w:rFonts w:ascii="Arial" w:cs="Arial" w:eastAsia="Arial" w:hAnsi="Arial"/>
                <w:sz w:val="20"/>
                <w:szCs w:val="20"/>
              </w:rPr>
              <w:t xml:space="preserve">No</w:t>
            </w:r>
          </w:p>
        </w:tc>
        <w:tc>
          <w:tcPr>
            <w:tcW w:type="dxa" w:w="3700"/>
            <w:tcBorders>
              <w:top w:val="single" w:color="AAAAAA" w:sz="1"/>
              <w:left w:val="single" w:color="AAAAAA" w:sz="1"/>
              <w:bottom w:val="single" w:color="AAAAAA" w:sz="1"/>
              <w:right w:val="single" w:color="AAAAAA" w:sz="1"/>
            </w:tcBorders>
            <w:shd w:fill="F0F4FA" w:val="clear"/>
            <w:tcMar>
              <w:top w:type="dxa" w:w="80"/>
              <w:left w:type="dxa" w:w="120"/>
              <w:bottom w:type="dxa" w:w="80"/>
              <w:right w:type="dxa" w:w="120"/>
            </w:tcMar>
          </w:tcPr>
          <w:p>
            <w:r>
              <w:rPr>
                <w:rFonts w:ascii="Arial" w:cs="Arial" w:eastAsia="Arial" w:hAnsi="Arial"/>
                <w:sz w:val="20"/>
                <w:szCs w:val="20"/>
              </w:rPr>
              <w:t xml:space="preserve">Ayuda a cualificar antes de la consulta</w:t>
            </w:r>
          </w:p>
        </w:tc>
      </w:tr>
      <w:tr>
        <w:tc>
          <w:tcPr>
            <w:tcW w:type="dxa" w:w="250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tcPr>
          <w:p>
            <w:r>
              <w:rPr>
                <w:rFonts w:ascii="Arial" w:cs="Arial" w:eastAsia="Arial" w:hAnsi="Arial"/>
                <w:sz w:val="20"/>
                <w:szCs w:val="20"/>
              </w:rPr>
              <w:t xml:space="preserve">He leído y acepto la política de privacidad</w:t>
            </w:r>
          </w:p>
        </w:tc>
        <w:tc>
          <w:tcPr>
            <w:tcW w:type="dxa" w:w="180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tcPr>
          <w:p>
            <w:r>
              <w:rPr>
                <w:rFonts w:ascii="Arial" w:cs="Arial" w:eastAsia="Arial" w:hAnsi="Arial"/>
                <w:sz w:val="20"/>
                <w:szCs w:val="20"/>
              </w:rPr>
              <w:t xml:space="preserve">Checkbox</w:t>
            </w:r>
          </w:p>
        </w:tc>
        <w:tc>
          <w:tcPr>
            <w:tcW w:type="dxa" w:w="180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tcPr>
          <w:p>
            <w:r>
              <w:rPr>
                <w:rFonts w:ascii="Arial" w:cs="Arial" w:eastAsia="Arial" w:hAnsi="Arial"/>
                <w:sz w:val="20"/>
                <w:szCs w:val="20"/>
              </w:rPr>
              <w:t xml:space="preserve">Sí</w:t>
            </w:r>
          </w:p>
        </w:tc>
        <w:tc>
          <w:tcPr>
            <w:tcW w:type="dxa" w:w="370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tcPr>
          <w:p>
            <w:r>
              <w:rPr>
                <w:rFonts w:ascii="Arial" w:cs="Arial" w:eastAsia="Arial" w:hAnsi="Arial"/>
                <w:sz w:val="20"/>
                <w:szCs w:val="20"/>
              </w:rPr>
              <w:t xml:space="preserve">Enlace obligatorio a política de privacidad completa</w:t>
            </w:r>
          </w:p>
        </w:tc>
      </w:tr>
      <w:tr>
        <w:tc>
          <w:tcPr>
            <w:tcW w:type="dxa" w:w="2500"/>
            <w:tcBorders>
              <w:top w:val="single" w:color="AAAAAA" w:sz="1"/>
              <w:left w:val="single" w:color="AAAAAA" w:sz="1"/>
              <w:bottom w:val="single" w:color="AAAAAA" w:sz="1"/>
              <w:right w:val="single" w:color="AAAAAA" w:sz="1"/>
            </w:tcBorders>
            <w:shd w:fill="F0F4FA" w:val="clear"/>
            <w:tcMar>
              <w:top w:type="dxa" w:w="80"/>
              <w:left w:type="dxa" w:w="120"/>
              <w:bottom w:type="dxa" w:w="80"/>
              <w:right w:type="dxa" w:w="120"/>
            </w:tcMar>
          </w:tcPr>
          <w:p>
            <w:r>
              <w:rPr>
                <w:rFonts w:ascii="Arial" w:cs="Arial" w:eastAsia="Arial" w:hAnsi="Arial"/>
                <w:sz w:val="20"/>
                <w:szCs w:val="20"/>
              </w:rPr>
              <w:t xml:space="preserve">Acepto recibir información sobre este despacho</w:t>
            </w:r>
          </w:p>
        </w:tc>
        <w:tc>
          <w:tcPr>
            <w:tcW w:type="dxa" w:w="1800"/>
            <w:tcBorders>
              <w:top w:val="single" w:color="AAAAAA" w:sz="1"/>
              <w:left w:val="single" w:color="AAAAAA" w:sz="1"/>
              <w:bottom w:val="single" w:color="AAAAAA" w:sz="1"/>
              <w:right w:val="single" w:color="AAAAAA" w:sz="1"/>
            </w:tcBorders>
            <w:shd w:fill="F0F4FA" w:val="clear"/>
            <w:tcMar>
              <w:top w:type="dxa" w:w="80"/>
              <w:left w:type="dxa" w:w="120"/>
              <w:bottom w:type="dxa" w:w="80"/>
              <w:right w:type="dxa" w:w="120"/>
            </w:tcMar>
          </w:tcPr>
          <w:p>
            <w:r>
              <w:rPr>
                <w:rFonts w:ascii="Arial" w:cs="Arial" w:eastAsia="Arial" w:hAnsi="Arial"/>
                <w:sz w:val="20"/>
                <w:szCs w:val="20"/>
              </w:rPr>
              <w:t xml:space="preserve">Checkbox</w:t>
            </w:r>
          </w:p>
        </w:tc>
        <w:tc>
          <w:tcPr>
            <w:tcW w:type="dxa" w:w="1800"/>
            <w:tcBorders>
              <w:top w:val="single" w:color="AAAAAA" w:sz="1"/>
              <w:left w:val="single" w:color="AAAAAA" w:sz="1"/>
              <w:bottom w:val="single" w:color="AAAAAA" w:sz="1"/>
              <w:right w:val="single" w:color="AAAAAA" w:sz="1"/>
            </w:tcBorders>
            <w:shd w:fill="F0F4FA" w:val="clear"/>
            <w:tcMar>
              <w:top w:type="dxa" w:w="80"/>
              <w:left w:type="dxa" w:w="120"/>
              <w:bottom w:type="dxa" w:w="80"/>
              <w:right w:type="dxa" w:w="120"/>
            </w:tcMar>
          </w:tcPr>
          <w:p>
            <w:r>
              <w:rPr>
                <w:rFonts w:ascii="Arial" w:cs="Arial" w:eastAsia="Arial" w:hAnsi="Arial"/>
                <w:sz w:val="20"/>
                <w:szCs w:val="20"/>
              </w:rPr>
              <w:t xml:space="preserve">No</w:t>
            </w:r>
          </w:p>
        </w:tc>
        <w:tc>
          <w:tcPr>
            <w:tcW w:type="dxa" w:w="3700"/>
            <w:tcBorders>
              <w:top w:val="single" w:color="AAAAAA" w:sz="1"/>
              <w:left w:val="single" w:color="AAAAAA" w:sz="1"/>
              <w:bottom w:val="single" w:color="AAAAAA" w:sz="1"/>
              <w:right w:val="single" w:color="AAAAAA" w:sz="1"/>
            </w:tcBorders>
            <w:shd w:fill="F0F4FA" w:val="clear"/>
            <w:tcMar>
              <w:top w:type="dxa" w:w="80"/>
              <w:left w:type="dxa" w:w="120"/>
              <w:bottom w:type="dxa" w:w="80"/>
              <w:right w:type="dxa" w:w="120"/>
            </w:tcMar>
          </w:tcPr>
          <w:p>
            <w:r>
              <w:rPr>
                <w:rFonts w:ascii="Arial" w:cs="Arial" w:eastAsia="Arial" w:hAnsi="Arial"/>
                <w:sz w:val="20"/>
                <w:szCs w:val="20"/>
              </w:rPr>
              <w:t xml:space="preserve">Separado del anterior; no preconfigurado como marcado</w:t>
            </w:r>
          </w:p>
        </w:tc>
      </w:tr>
    </w:tbl>
    <w:p>
      <w:pPr>
        <w:spacing w:after="120"/>
      </w:pPr>
      <w:r>
        <w:t xml:space="preserve"/>
      </w:r>
    </w:p>
    <w:p>
      <w:pPr>
        <w:spacing w:after="120"/>
        <w:jc w:val="both"/>
      </w:pPr>
      <w:r>
        <w:rPr>
          <w:rFonts w:ascii="Arial" w:cs="Arial" w:eastAsia="Arial" w:hAnsi="Arial"/>
          <w:b/>
          <w:bCs/>
          <w:color w:val="000000"/>
          <w:sz w:val="22"/>
          <w:szCs w:val="22"/>
        </w:rPr>
        <w:t xml:space="preserve">Texto legal RGPD obligatorio bajo el formulario:</w:t>
      </w:r>
    </w:p>
    <w:tbl>
      <w:tblPr>
        <w:tblW w:type="dxa" w:w="9906"/>
        <w:tblBorders>
          <w:top w:val="single" w:color="auto" w:sz="4"/>
          <w:left w:val="single" w:color="auto" w:sz="4"/>
          <w:bottom w:val="single" w:color="auto" w:sz="4"/>
          <w:right w:val="single" w:color="auto" w:sz="4"/>
          <w:insideH w:val="single" w:color="auto" w:sz="4"/>
          <w:insideV w:val="single" w:color="auto" w:sz="4"/>
        </w:tblBorders>
      </w:tblPr>
      <w:tblGrid>
        <w:gridCol w:w="9906"/>
      </w:tblGrid>
      <w:tr>
        <w:tc>
          <w:tcPr>
            <w:tcW w:type="dxa" w:w="9906"/>
            <w:tcBorders>
              <w:top w:val="single" w:color="2E75B6" w:sz="4"/>
              <w:left w:val="single" w:color="2E75B6" w:sz="8"/>
              <w:bottom w:val="single" w:color="2E75B6" w:sz="4"/>
              <w:right w:val="none" w:color="FFFFFF" w:sz="0"/>
            </w:tcBorders>
            <w:shd w:fill="EEF2F7" w:val="clear"/>
            <w:tcMar>
              <w:top w:type="dxa" w:w="120"/>
              <w:left w:type="dxa" w:w="180"/>
              <w:bottom w:type="dxa" w:w="120"/>
              <w:right w:type="dxa" w:w="120"/>
            </w:tcMar>
          </w:tcPr>
          <w:p>
            <w:pPr>
              <w:spacing w:after="60"/>
            </w:pPr>
            <w:r>
              <w:rPr>
                <w:rFonts w:ascii="Arial" w:cs="Arial" w:eastAsia="Arial" w:hAnsi="Arial"/>
                <w:color w:val="1F4E79"/>
                <w:sz w:val="22"/>
                <w:szCs w:val="22"/>
              </w:rPr>
              <w:t xml:space="preserve">De conformidad con el Reglamento (UE) 2016/679 (RGPD) y la Ley Orgánica 3/2018 (LOPDGDD), le informamos</w:t>
            </w:r>
          </w:p>
          <w:p>
            <w:pPr>
              <w:spacing w:after="60"/>
            </w:pPr>
            <w:r>
              <w:rPr>
                <w:rFonts w:ascii="Arial" w:cs="Arial" w:eastAsia="Arial" w:hAnsi="Arial"/>
                <w:color w:val="1F4E79"/>
                <w:sz w:val="22"/>
                <w:szCs w:val="22"/>
              </w:rPr>
              <w:t xml:space="preserve">de que los datos facilitados serán tratados por [NOMBRE DEL DESPACHO / ABOGADO/A], con domicilio en</w:t>
            </w:r>
          </w:p>
          <w:p>
            <w:pPr>
              <w:spacing w:after="60"/>
            </w:pPr>
            <w:r>
              <w:rPr>
                <w:rFonts w:ascii="Arial" w:cs="Arial" w:eastAsia="Arial" w:hAnsi="Arial"/>
                <w:color w:val="1F4E79"/>
                <w:sz w:val="22"/>
                <w:szCs w:val="22"/>
              </w:rPr>
              <w:t xml:space="preserve">[DIRECCIÓN], como responsable del tratamiento, con la finalidad de atender su consulta y, en su caso,</w:t>
            </w:r>
          </w:p>
          <w:p>
            <w:pPr>
              <w:spacing w:after="60"/>
            </w:pPr>
            <w:r>
              <w:rPr>
                <w:rFonts w:ascii="Arial" w:cs="Arial" w:eastAsia="Arial" w:hAnsi="Arial"/>
                <w:color w:val="1F4E79"/>
                <w:sz w:val="22"/>
                <w:szCs w:val="22"/>
              </w:rPr>
              <w:t xml:space="preserve">gestionar la relación profesional. Base jurídica: ejecución de relación precontractual (art. 6.1.b RGPD).</w:t>
            </w:r>
          </w:p>
          <w:p>
            <w:pPr>
              <w:spacing w:after="60"/>
            </w:pPr>
            <w:r>
              <w:rPr>
                <w:rFonts w:ascii="Arial" w:cs="Arial" w:eastAsia="Arial" w:hAnsi="Arial"/>
                <w:color w:val="1F4E79"/>
                <w:sz w:val="22"/>
                <w:szCs w:val="22"/>
              </w:rPr>
              <w:t xml:space="preserve">Sus datos no serán cedidos a terceros salvo obligación legal. Puede ejercer sus derechos de acceso,</w:t>
            </w:r>
          </w:p>
          <w:p>
            <w:pPr>
              <w:spacing w:after="60"/>
            </w:pPr>
            <w:r>
              <w:rPr>
                <w:rFonts w:ascii="Arial" w:cs="Arial" w:eastAsia="Arial" w:hAnsi="Arial"/>
                <w:color w:val="1F4E79"/>
                <w:sz w:val="22"/>
                <w:szCs w:val="22"/>
              </w:rPr>
              <w:t xml:space="preserve">rectificación, supresión y portabilidad dirigiéndose a [EMAIL]. Más información en nuestra</w:t>
            </w:r>
          </w:p>
          <w:p>
            <w:pPr>
              <w:spacing w:after="60"/>
            </w:pPr>
            <w:r>
              <w:rPr>
                <w:rFonts w:ascii="Arial" w:cs="Arial" w:eastAsia="Arial" w:hAnsi="Arial"/>
                <w:color w:val="1F4E79"/>
                <w:sz w:val="22"/>
                <w:szCs w:val="22"/>
              </w:rPr>
              <w:t xml:space="preserve">[política de privacidad] y [aviso legal].</w:t>
            </w:r>
          </w:p>
        </w:tc>
      </w:tr>
    </w:tbl>
    <w:p>
      <w:pPr>
        <w:spacing w:after="120"/>
      </w:pPr>
      <w:r>
        <w:t xml:space="preserve"/>
      </w:r>
    </w:p>
    <w:p>
      <w:pPr>
        <w:pStyle w:val="Heading2"/>
        <w:spacing w:after="120" w:before="280"/>
      </w:pPr>
      <w:r>
        <w:rPr>
          <w:rFonts w:ascii="Arial" w:cs="Arial" w:eastAsia="Arial" w:hAnsi="Arial"/>
          <w:b/>
          <w:bCs/>
          <w:color w:val="2E75B6"/>
          <w:sz w:val="28"/>
          <w:szCs w:val="28"/>
        </w:rPr>
        <w:t xml:space="preserve">5.9 CTA final</w:t>
      </w:r>
    </w:p>
    <w:tbl>
      <w:tblPr>
        <w:tblW w:type="dxa" w:w="9906"/>
        <w:tblBorders>
          <w:top w:val="single" w:color="auto" w:sz="4"/>
          <w:left w:val="single" w:color="auto" w:sz="4"/>
          <w:bottom w:val="single" w:color="auto" w:sz="4"/>
          <w:right w:val="single" w:color="auto" w:sz="4"/>
          <w:insideH w:val="single" w:color="auto" w:sz="4"/>
          <w:insideV w:val="single" w:color="auto" w:sz="4"/>
        </w:tblBorders>
      </w:tblPr>
      <w:tblGrid>
        <w:gridCol w:w="9906"/>
      </w:tblGrid>
      <w:tr>
        <w:tc>
          <w:tcPr>
            <w:tcW w:type="dxa" w:w="9906"/>
            <w:tcBorders>
              <w:top w:val="single" w:color="2E75B6" w:sz="4"/>
              <w:left w:val="single" w:color="2E75B6" w:sz="8"/>
              <w:bottom w:val="single" w:color="2E75B6" w:sz="4"/>
              <w:right w:val="none" w:color="FFFFFF" w:sz="0"/>
            </w:tcBorders>
            <w:shd w:fill="EEF2F7" w:val="clear"/>
            <w:tcMar>
              <w:top w:type="dxa" w:w="120"/>
              <w:left w:type="dxa" w:w="180"/>
              <w:bottom w:type="dxa" w:w="120"/>
              <w:right w:type="dxa" w:w="120"/>
            </w:tcMar>
          </w:tcPr>
          <w:p>
            <w:pPr>
              <w:spacing w:after="60"/>
            </w:pPr>
            <w:r>
              <w:rPr>
                <w:rFonts w:ascii="Arial" w:cs="Arial" w:eastAsia="Arial" w:hAnsi="Arial"/>
                <w:color w:val="1F4E79"/>
                <w:sz w:val="22"/>
                <w:szCs w:val="22"/>
              </w:rPr>
              <w:t xml:space="preserve">TITULAR: Si tu situación no puede esperar, este es el momento.</w:t>
            </w:r>
          </w:p>
          <w:p>
            <w:pPr>
              <w:spacing w:after="60"/>
            </w:pPr>
            <w:r>
              <w:rPr>
                <w:rFonts w:ascii="Arial" w:cs="Arial" w:eastAsia="Arial" w:hAnsi="Arial"/>
                <w:color w:val="1F4E79"/>
                <w:sz w:val="22"/>
                <w:szCs w:val="22"/>
              </w:rPr>
              <w:t xml:space="preserve"/>
            </w:r>
          </w:p>
          <w:p>
            <w:pPr>
              <w:spacing w:after="60"/>
            </w:pPr>
            <w:r>
              <w:rPr>
                <w:rFonts w:ascii="Arial" w:cs="Arial" w:eastAsia="Arial" w:hAnsi="Arial"/>
                <w:color w:val="1F4E79"/>
                <w:sz w:val="22"/>
                <w:szCs w:val="22"/>
              </w:rPr>
              <w:t xml:space="preserve">SUBTEXTO: Cada semana que pasa sin asesoramiento puede reducir tus opciones. La jurisdicción</w:t>
            </w:r>
          </w:p>
          <w:p>
            <w:pPr>
              <w:spacing w:after="60"/>
            </w:pPr>
            <w:r>
              <w:rPr>
                <w:rFonts w:ascii="Arial" w:cs="Arial" w:eastAsia="Arial" w:hAnsi="Arial"/>
                <w:color w:val="1F4E79"/>
                <w:sz w:val="22"/>
                <w:szCs w:val="22"/>
              </w:rPr>
              <w:t xml:space="preserve">voluntaria tiene plazos. Los sacramentos son irreversibles. Y la primera consulta con un abogado</w:t>
            </w:r>
          </w:p>
          <w:p>
            <w:pPr>
              <w:spacing w:after="60"/>
            </w:pPr>
            <w:r>
              <w:rPr>
                <w:rFonts w:ascii="Arial" w:cs="Arial" w:eastAsia="Arial" w:hAnsi="Arial"/>
                <w:color w:val="1F4E79"/>
                <w:sz w:val="22"/>
                <w:szCs w:val="22"/>
              </w:rPr>
              <w:t xml:space="preserve">especializado puede darte en 60 minutos lo que llevas semanas buscando: claridad.</w:t>
            </w:r>
          </w:p>
          <w:p>
            <w:pPr>
              <w:spacing w:after="60"/>
            </w:pPr>
            <w:r>
              <w:rPr>
                <w:rFonts w:ascii="Arial" w:cs="Arial" w:eastAsia="Arial" w:hAnsi="Arial"/>
                <w:color w:val="1F4E79"/>
                <w:sz w:val="22"/>
                <w:szCs w:val="22"/>
              </w:rPr>
              <w:t xml:space="preserve"/>
            </w:r>
          </w:p>
          <w:p>
            <w:pPr>
              <w:spacing w:after="60"/>
            </w:pPr>
            <w:r>
              <w:rPr>
                <w:rFonts w:ascii="Arial" w:cs="Arial" w:eastAsia="Arial" w:hAnsi="Arial"/>
                <w:color w:val="1F4E79"/>
                <w:sz w:val="22"/>
                <w:szCs w:val="22"/>
              </w:rPr>
              <w:t xml:space="preserve">BOTÓN PRINCIPAL: Descarga la guía gratuita →</w:t>
            </w:r>
          </w:p>
          <w:p>
            <w:pPr>
              <w:spacing w:after="60"/>
            </w:pPr>
            <w:r>
              <w:rPr>
                <w:rFonts w:ascii="Arial" w:cs="Arial" w:eastAsia="Arial" w:hAnsi="Arial"/>
                <w:color w:val="1F4E79"/>
                <w:sz w:val="22"/>
                <w:szCs w:val="22"/>
              </w:rPr>
              <w:t xml:space="preserve">BOTÓN SECUNDARIO: Reserva una llamada de 15 minutos →</w:t>
            </w:r>
          </w:p>
          <w:p>
            <w:pPr>
              <w:spacing w:after="60"/>
            </w:pPr>
            <w:r>
              <w:rPr>
                <w:rFonts w:ascii="Arial" w:cs="Arial" w:eastAsia="Arial" w:hAnsi="Arial"/>
                <w:color w:val="1F4E79"/>
                <w:sz w:val="22"/>
                <w:szCs w:val="22"/>
              </w:rPr>
              <w:t xml:space="preserve"/>
            </w:r>
          </w:p>
          <w:p>
            <w:pPr>
              <w:spacing w:after="60"/>
            </w:pPr>
            <w:r>
              <w:rPr>
                <w:rFonts w:ascii="Arial" w:cs="Arial" w:eastAsia="Arial" w:hAnsi="Arial"/>
                <w:color w:val="1F4E79"/>
                <w:sz w:val="22"/>
                <w:szCs w:val="22"/>
              </w:rPr>
              <w:t xml:space="preserve">Nota: esta urgencia es real, no artificial. Está justificada por la irreversibilidad del sacramento</w:t>
            </w:r>
          </w:p>
          <w:p>
            <w:pPr>
              <w:spacing w:after="60"/>
            </w:pPr>
            <w:r>
              <w:rPr>
                <w:rFonts w:ascii="Arial" w:cs="Arial" w:eastAsia="Arial" w:hAnsi="Arial"/>
                <w:color w:val="1F4E79"/>
                <w:sz w:val="22"/>
                <w:szCs w:val="22"/>
              </w:rPr>
              <w:t xml:space="preserve">(criterio STS 465/2015) y los plazos de respuesta a burofax (10 días hábiles).</w:t>
            </w:r>
          </w:p>
        </w:tc>
      </w:tr>
    </w:tbl>
    <w:p>
      <w:r>
        <w:br w:type="page"/>
      </w:r>
    </w:p>
    <w:p>
      <w:pPr>
        <w:pStyle w:val="Heading1"/>
        <w:spacing w:after="180" w:before="360"/>
      </w:pPr>
      <w:r>
        <w:rPr>
          <w:rFonts w:ascii="Arial" w:cs="Arial" w:eastAsia="Arial" w:hAnsi="Arial"/>
          <w:b/>
          <w:bCs/>
          <w:color w:val="1F4E79"/>
          <w:sz w:val="36"/>
          <w:szCs w:val="36"/>
        </w:rPr>
        <w:t xml:space="preserve">Preguntas de validación para JC</w:t>
      </w:r>
    </w:p>
    <w:p>
      <w:pPr>
        <w:spacing w:after="120"/>
        <w:jc w:val="both"/>
      </w:pPr>
      <w:r>
        <w:rPr>
          <w:rFonts w:ascii="Arial" w:cs="Arial" w:eastAsia="Arial" w:hAnsi="Arial"/>
          <w:b w:val="false"/>
          <w:bCs w:val="false"/>
          <w:color w:val="000000"/>
          <w:sz w:val="22"/>
          <w:szCs w:val="22"/>
        </w:rPr>
        <w:t xml:space="preserve">Las respuestas a estas 5 preguntas cambiarían materialmente partes específicas de la estrategia. Se señala qué cambiaría en cada caso.</w:t>
      </w:r>
    </w:p>
    <w:p>
      <w:pPr>
        <w:spacing w:after="120"/>
      </w:pPr>
      <w:r>
        <w:t xml:space="preserve"/>
      </w:r>
    </w:p>
    <w:tbl>
      <w:tblPr>
        <w:tblW w:type="dxa" w:w="9800"/>
        <w:tblBorders>
          <w:top w:val="single" w:color="auto" w:sz="4"/>
          <w:left w:val="single" w:color="auto" w:sz="4"/>
          <w:bottom w:val="single" w:color="auto" w:sz="4"/>
          <w:right w:val="single" w:color="auto" w:sz="4"/>
          <w:insideH w:val="single" w:color="auto" w:sz="4"/>
          <w:insideV w:val="single" w:color="auto" w:sz="4"/>
        </w:tblBorders>
      </w:tblPr>
      <w:tblGrid>
        <w:gridCol w:w="500"/>
        <w:gridCol w:w="3500"/>
        <w:gridCol w:w="5800"/>
      </w:tblGrid>
      <w:tr>
        <w:trPr>
          <w:tblHeader/>
        </w:trPr>
        <w:tc>
          <w:tcPr>
            <w:tcW w:type="dxa" w:w="500"/>
            <w:tcBorders>
              <w:top w:val="single" w:color="AAAAAA" w:sz="1"/>
              <w:left w:val="single" w:color="AAAAAA" w:sz="1"/>
              <w:bottom w:val="single" w:color="AAAAAA" w:sz="1"/>
              <w:right w:val="single" w:color="AAAAAA" w:sz="1"/>
            </w:tcBorders>
            <w:shd w:fill="1F4E79" w:val="clear"/>
            <w:tcMar>
              <w:top w:type="dxa" w:w="80"/>
              <w:left w:type="dxa" w:w="120"/>
              <w:bottom w:type="dxa" w:w="80"/>
              <w:right w:type="dxa" w:w="120"/>
            </w:tcMar>
            <w:vAlign w:val="center"/>
          </w:tcPr>
          <w:p>
            <w:pPr>
              <w:jc w:val="center"/>
            </w:pPr>
            <w:r>
              <w:rPr>
                <w:rFonts w:ascii="Arial" w:cs="Arial" w:eastAsia="Arial" w:hAnsi="Arial"/>
                <w:b/>
                <w:bCs/>
                <w:color w:val="FFFFFF"/>
                <w:sz w:val="20"/>
                <w:szCs w:val="20"/>
              </w:rPr>
              <w:t xml:space="preserve">#</w:t>
            </w:r>
          </w:p>
        </w:tc>
        <w:tc>
          <w:tcPr>
            <w:tcW w:type="dxa" w:w="3500"/>
            <w:tcBorders>
              <w:top w:val="single" w:color="AAAAAA" w:sz="1"/>
              <w:left w:val="single" w:color="AAAAAA" w:sz="1"/>
              <w:bottom w:val="single" w:color="AAAAAA" w:sz="1"/>
              <w:right w:val="single" w:color="AAAAAA" w:sz="1"/>
            </w:tcBorders>
            <w:shd w:fill="1F4E79" w:val="clear"/>
            <w:tcMar>
              <w:top w:type="dxa" w:w="80"/>
              <w:left w:type="dxa" w:w="120"/>
              <w:bottom w:type="dxa" w:w="80"/>
              <w:right w:type="dxa" w:w="120"/>
            </w:tcMar>
            <w:vAlign w:val="center"/>
          </w:tcPr>
          <w:p>
            <w:pPr>
              <w:jc w:val="center"/>
            </w:pPr>
            <w:r>
              <w:rPr>
                <w:rFonts w:ascii="Arial" w:cs="Arial" w:eastAsia="Arial" w:hAnsi="Arial"/>
                <w:b/>
                <w:bCs/>
                <w:color w:val="FFFFFF"/>
                <w:sz w:val="20"/>
                <w:szCs w:val="20"/>
              </w:rPr>
              <w:t xml:space="preserve">Pregunta</w:t>
            </w:r>
          </w:p>
        </w:tc>
        <w:tc>
          <w:tcPr>
            <w:tcW w:type="dxa" w:w="5800"/>
            <w:tcBorders>
              <w:top w:val="single" w:color="AAAAAA" w:sz="1"/>
              <w:left w:val="single" w:color="AAAAAA" w:sz="1"/>
              <w:bottom w:val="single" w:color="AAAAAA" w:sz="1"/>
              <w:right w:val="single" w:color="AAAAAA" w:sz="1"/>
            </w:tcBorders>
            <w:shd w:fill="1F4E79" w:val="clear"/>
            <w:tcMar>
              <w:top w:type="dxa" w:w="80"/>
              <w:left w:type="dxa" w:w="120"/>
              <w:bottom w:type="dxa" w:w="80"/>
              <w:right w:type="dxa" w:w="120"/>
            </w:tcMar>
            <w:vAlign w:val="center"/>
          </w:tcPr>
          <w:p>
            <w:pPr>
              <w:jc w:val="center"/>
            </w:pPr>
            <w:r>
              <w:rPr>
                <w:rFonts w:ascii="Arial" w:cs="Arial" w:eastAsia="Arial" w:hAnsi="Arial"/>
                <w:b/>
                <w:bCs/>
                <w:color w:val="FFFFFF"/>
                <w:sz w:val="20"/>
                <w:szCs w:val="20"/>
              </w:rPr>
              <w:t xml:space="preserve">Qué cambiaría si la respuesta es X</w:t>
            </w:r>
          </w:p>
        </w:tc>
      </w:tr>
      <w:tr>
        <w:tc>
          <w:tcPr>
            <w:tcW w:type="dxa" w:w="50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tcPr>
          <w:p>
            <w:r>
              <w:rPr>
                <w:rFonts w:ascii="Arial" w:cs="Arial" w:eastAsia="Arial" w:hAnsi="Arial"/>
                <w:sz w:val="20"/>
                <w:szCs w:val="20"/>
              </w:rPr>
              <w:t xml:space="preserve">1</w:t>
            </w:r>
          </w:p>
        </w:tc>
        <w:tc>
          <w:tcPr>
            <w:tcW w:type="dxa" w:w="350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tcPr>
          <w:p>
            <w:r>
              <w:rPr>
                <w:rFonts w:ascii="Arial" w:cs="Arial" w:eastAsia="Arial" w:hAnsi="Arial"/>
                <w:sz w:val="20"/>
                <w:szCs w:val="20"/>
              </w:rPr>
              <w:t xml:space="preserve">¿Cuál es el ámbito geográfico del despacho? (Solo una ciudad / provincia / toda España con atención telemática)</w:t>
            </w:r>
          </w:p>
        </w:tc>
        <w:tc>
          <w:tcPr>
            <w:tcW w:type="dxa" w:w="580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tcPr>
          <w:p>
            <w:r>
              <w:rPr>
                <w:rFonts w:ascii="Arial" w:cs="Arial" w:eastAsia="Arial" w:hAnsi="Arial"/>
                <w:sz w:val="20"/>
                <w:szCs w:val="20"/>
              </w:rPr>
              <w:t xml:space="preserve">Si es una ciudad concreta: Google Ads debe ser hiperlocal (radio de 20-30 km); el SEO debe incluir el topónimo en los títulos y meta-descriptions. Si es nacional con videoconferencia: la estrategia SEO se amplía sin restricción geográfica y el presupuesto de Ads debe incrementarse.</w:t>
            </w:r>
          </w:p>
        </w:tc>
      </w:tr>
      <w:tr>
        <w:tc>
          <w:tcPr>
            <w:tcW w:type="dxa" w:w="500"/>
            <w:tcBorders>
              <w:top w:val="single" w:color="AAAAAA" w:sz="1"/>
              <w:left w:val="single" w:color="AAAAAA" w:sz="1"/>
              <w:bottom w:val="single" w:color="AAAAAA" w:sz="1"/>
              <w:right w:val="single" w:color="AAAAAA" w:sz="1"/>
            </w:tcBorders>
            <w:shd w:fill="F0F4FA" w:val="clear"/>
            <w:tcMar>
              <w:top w:type="dxa" w:w="80"/>
              <w:left w:type="dxa" w:w="120"/>
              <w:bottom w:type="dxa" w:w="80"/>
              <w:right w:type="dxa" w:w="120"/>
            </w:tcMar>
          </w:tcPr>
          <w:p>
            <w:r>
              <w:rPr>
                <w:rFonts w:ascii="Arial" w:cs="Arial" w:eastAsia="Arial" w:hAnsi="Arial"/>
                <w:sz w:val="20"/>
                <w:szCs w:val="20"/>
              </w:rPr>
              <w:t xml:space="preserve">2</w:t>
            </w:r>
          </w:p>
        </w:tc>
        <w:tc>
          <w:tcPr>
            <w:tcW w:type="dxa" w:w="3500"/>
            <w:tcBorders>
              <w:top w:val="single" w:color="AAAAAA" w:sz="1"/>
              <w:left w:val="single" w:color="AAAAAA" w:sz="1"/>
              <w:bottom w:val="single" w:color="AAAAAA" w:sz="1"/>
              <w:right w:val="single" w:color="AAAAAA" w:sz="1"/>
            </w:tcBorders>
            <w:shd w:fill="F0F4FA" w:val="clear"/>
            <w:tcMar>
              <w:top w:type="dxa" w:w="80"/>
              <w:left w:type="dxa" w:w="120"/>
              <w:bottom w:type="dxa" w:w="80"/>
              <w:right w:type="dxa" w:w="120"/>
            </w:tcMar>
          </w:tcPr>
          <w:p>
            <w:r>
              <w:rPr>
                <w:rFonts w:ascii="Arial" w:cs="Arial" w:eastAsia="Arial" w:hAnsi="Arial"/>
                <w:sz w:val="20"/>
                <w:szCs w:val="20"/>
              </w:rPr>
              <w:t xml:space="preserve">¿Cuáles son los honorarios medios para este tipo de asuntos? (Primera consulta + encargo completo)</w:t>
            </w:r>
          </w:p>
        </w:tc>
        <w:tc>
          <w:tcPr>
            <w:tcW w:type="dxa" w:w="5800"/>
            <w:tcBorders>
              <w:top w:val="single" w:color="AAAAAA" w:sz="1"/>
              <w:left w:val="single" w:color="AAAAAA" w:sz="1"/>
              <w:bottom w:val="single" w:color="AAAAAA" w:sz="1"/>
              <w:right w:val="single" w:color="AAAAAA" w:sz="1"/>
            </w:tcBorders>
            <w:shd w:fill="F0F4FA" w:val="clear"/>
            <w:tcMar>
              <w:top w:type="dxa" w:w="80"/>
              <w:left w:type="dxa" w:w="120"/>
              <w:bottom w:type="dxa" w:w="80"/>
              <w:right w:type="dxa" w:w="120"/>
            </w:tcMar>
          </w:tcPr>
          <w:p>
            <w:r>
              <w:rPr>
                <w:rFonts w:ascii="Arial" w:cs="Arial" w:eastAsia="Arial" w:hAnsi="Arial"/>
                <w:sz w:val="20"/>
                <w:szCs w:val="20"/>
              </w:rPr>
              <w:t xml:space="preserve">Afecta directamente al email 4 (objeción 'es caro'), a la FAQ 8 y a la sección 'Cómo te acompañamos'. Si el precio es alto para el segmento, hay que reforzar la justificación de valor. Si es accesible, puede explicitarse en la landing como argumento diferenciador.</w:t>
            </w:r>
          </w:p>
        </w:tc>
      </w:tr>
      <w:tr>
        <w:tc>
          <w:tcPr>
            <w:tcW w:type="dxa" w:w="50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tcPr>
          <w:p>
            <w:r>
              <w:rPr>
                <w:rFonts w:ascii="Arial" w:cs="Arial" w:eastAsia="Arial" w:hAnsi="Arial"/>
                <w:sz w:val="20"/>
                <w:szCs w:val="20"/>
              </w:rPr>
              <w:t xml:space="preserve">3</w:t>
            </w:r>
          </w:p>
        </w:tc>
        <w:tc>
          <w:tcPr>
            <w:tcW w:type="dxa" w:w="350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tcPr>
          <w:p>
            <w:r>
              <w:rPr>
                <w:rFonts w:ascii="Arial" w:cs="Arial" w:eastAsia="Arial" w:hAnsi="Arial"/>
                <w:sz w:val="20"/>
                <w:szCs w:val="20"/>
              </w:rPr>
              <w:t xml:space="preserve">¿Cuántas horas semanales puede dedicar JC a crear contenido? (Estimación realista: 2h / 4h / 6h+ por semana)</w:t>
            </w:r>
          </w:p>
        </w:tc>
        <w:tc>
          <w:tcPr>
            <w:tcW w:type="dxa" w:w="580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tcPr>
          <w:p>
            <w:r>
              <w:rPr>
                <w:rFonts w:ascii="Arial" w:cs="Arial" w:eastAsia="Arial" w:hAnsi="Arial"/>
                <w:sz w:val="20"/>
                <w:szCs w:val="20"/>
              </w:rPr>
              <w:t xml:space="preserve">Si &lt; 2h/semana: reducir a 1 pieza larga cada 2 semanas + 1-2 cortas; contratar copywriter freelance para el resto. Si ≥ 6h: el calendario de 12 semanas es ejecutable al 100% sin apoyo externo.</w:t>
            </w:r>
          </w:p>
        </w:tc>
      </w:tr>
      <w:tr>
        <w:tc>
          <w:tcPr>
            <w:tcW w:type="dxa" w:w="500"/>
            <w:tcBorders>
              <w:top w:val="single" w:color="AAAAAA" w:sz="1"/>
              <w:left w:val="single" w:color="AAAAAA" w:sz="1"/>
              <w:bottom w:val="single" w:color="AAAAAA" w:sz="1"/>
              <w:right w:val="single" w:color="AAAAAA" w:sz="1"/>
            </w:tcBorders>
            <w:shd w:fill="F0F4FA" w:val="clear"/>
            <w:tcMar>
              <w:top w:type="dxa" w:w="80"/>
              <w:left w:type="dxa" w:w="120"/>
              <w:bottom w:type="dxa" w:w="80"/>
              <w:right w:type="dxa" w:w="120"/>
            </w:tcMar>
          </w:tcPr>
          <w:p>
            <w:r>
              <w:rPr>
                <w:rFonts w:ascii="Arial" w:cs="Arial" w:eastAsia="Arial" w:hAnsi="Arial"/>
                <w:sz w:val="20"/>
                <w:szCs w:val="20"/>
              </w:rPr>
              <w:t xml:space="preserve">4</w:t>
            </w:r>
          </w:p>
        </w:tc>
        <w:tc>
          <w:tcPr>
            <w:tcW w:type="dxa" w:w="3500"/>
            <w:tcBorders>
              <w:top w:val="single" w:color="AAAAAA" w:sz="1"/>
              <w:left w:val="single" w:color="AAAAAA" w:sz="1"/>
              <w:bottom w:val="single" w:color="AAAAAA" w:sz="1"/>
              <w:right w:val="single" w:color="AAAAAA" w:sz="1"/>
            </w:tcBorders>
            <w:shd w:fill="F0F4FA" w:val="clear"/>
            <w:tcMar>
              <w:top w:type="dxa" w:w="80"/>
              <w:left w:type="dxa" w:w="120"/>
              <w:bottom w:type="dxa" w:w="80"/>
              <w:right w:type="dxa" w:w="120"/>
            </w:tcMar>
          </w:tcPr>
          <w:p>
            <w:r>
              <w:rPr>
                <w:rFonts w:ascii="Arial" w:cs="Arial" w:eastAsia="Arial" w:hAnsi="Arial"/>
                <w:sz w:val="20"/>
                <w:szCs w:val="20"/>
              </w:rPr>
              <w:t xml:space="preserve">¿Hay procedimientos judiciales activos en el despacho de este tipo o el caso de origen es el primero?</w:t>
            </w:r>
          </w:p>
        </w:tc>
        <w:tc>
          <w:tcPr>
            <w:tcW w:type="dxa" w:w="5800"/>
            <w:tcBorders>
              <w:top w:val="single" w:color="AAAAAA" w:sz="1"/>
              <w:left w:val="single" w:color="AAAAAA" w:sz="1"/>
              <w:bottom w:val="single" w:color="AAAAAA" w:sz="1"/>
              <w:right w:val="single" w:color="AAAAAA" w:sz="1"/>
            </w:tcBorders>
            <w:shd w:fill="F0F4FA" w:val="clear"/>
            <w:tcMar>
              <w:top w:type="dxa" w:w="80"/>
              <w:left w:type="dxa" w:w="120"/>
              <w:bottom w:type="dxa" w:w="80"/>
              <w:right w:type="dxa" w:w="120"/>
            </w:tcMar>
          </w:tcPr>
          <w:p>
            <w:r>
              <w:rPr>
                <w:rFonts w:ascii="Arial" w:cs="Arial" w:eastAsia="Arial" w:hAnsi="Arial"/>
                <w:sz w:val="20"/>
                <w:szCs w:val="20"/>
              </w:rPr>
              <w:t xml:space="preserve">Si es el primero: la sección de prueba social debe usar exclusivamente casos arquetípicos (formato más conservador deontológicamente). Si hay expedientes anteriores con cliente satisfecho: se puede iniciar la captación de testimonios reales (anonimizados) desde la semana 9.</w:t>
            </w:r>
          </w:p>
        </w:tc>
      </w:tr>
      <w:tr>
        <w:tc>
          <w:tcPr>
            <w:tcW w:type="dxa" w:w="50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tcPr>
          <w:p>
            <w:r>
              <w:rPr>
                <w:rFonts w:ascii="Arial" w:cs="Arial" w:eastAsia="Arial" w:hAnsi="Arial"/>
                <w:sz w:val="20"/>
                <w:szCs w:val="20"/>
              </w:rPr>
              <w:t xml:space="preserve">5</w:t>
            </w:r>
          </w:p>
        </w:tc>
        <w:tc>
          <w:tcPr>
            <w:tcW w:type="dxa" w:w="350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tcPr>
          <w:p>
            <w:r>
              <w:rPr>
                <w:rFonts w:ascii="Arial" w:cs="Arial" w:eastAsia="Arial" w:hAnsi="Arial"/>
                <w:sz w:val="20"/>
                <w:szCs w:val="20"/>
              </w:rPr>
              <w:t xml:space="preserve">¿El despacho tiene ya web, dominio y presencia digital, o parte de cero?</w:t>
            </w:r>
          </w:p>
        </w:tc>
        <w:tc>
          <w:tcPr>
            <w:tcW w:type="dxa" w:w="580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tcPr>
          <w:p>
            <w:r>
              <w:rPr>
                <w:rFonts w:ascii="Arial" w:cs="Arial" w:eastAsia="Arial" w:hAnsi="Arial"/>
                <w:sz w:val="20"/>
                <w:szCs w:val="20"/>
              </w:rPr>
              <w:t xml:space="preserve">Si parte de cero: las semanas 1-2 del plan son bloqueantes (sin web no hay landing). El presupuesto de 815 € cubre el arranque completo. Si ya tiene web: el plan se comprime (semanas 1-2 son optimización, no creación) y el presupuesto libre puede redirigirse a Ads o contenido externo.</w:t>
            </w:r>
          </w:p>
        </w:tc>
      </w:tr>
    </w:tbl>
    <w:p>
      <w:pPr>
        <w:spacing w:after="120"/>
      </w:pPr>
      <w:r>
        <w:t xml:space="preserve"/>
      </w:r>
    </w:p>
    <w:p>
      <w:pPr>
        <w:spacing w:after="120"/>
        <w:jc w:val="both"/>
      </w:pPr>
      <w:r>
        <w:rPr>
          <w:rFonts w:ascii="Arial" w:cs="Arial" w:eastAsia="Arial" w:hAnsi="Arial"/>
          <w:b w:val="false"/>
          <w:bCs w:val="false"/>
          <w:color w:val="666666"/>
          <w:sz w:val="22"/>
          <w:szCs w:val="22"/>
        </w:rPr>
        <w:t xml:space="preserve">Documento elaborado a partir de: Estrategia_Patria_Potestad_Formacion_Religiosa.pdf (apartados I-VIII); AMJ todas.pdf (jurisprudencia: STS 465/2015, STS 277/2016, STC 5/2023, STC 119/2025, SAP Barcelona 54/2025 y 655/2025, SAP Málaga 243/2023); tabla_comparativa_IA_abogados chatgpt.pdf. Los datos marcados como [Supuesto a validar por JC] requieren confirmación del abogado titular antes de publicar.</w:t>
      </w:r>
    </w:p>
    <w:sectPr>
      <w:headerReference w:type="default" r:id="rId7"/>
      <w:footerReference w:type="default" r:id="rId8"/>
      <w:pgSz w:w="11906" w:h="16838" w:orient="portrait"/>
      <w:pgMar w:top="1000" w:right="1000" w:bottom="1000" w:left="100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pBdr>
        <w:top w:val="single" w:color="2E75B6" w:sz="4" w:space="1"/>
      </w:pBdr>
      <w:jc w:val="center"/>
    </w:pPr>
    <w:r>
      <w:rPr>
        <w:rFonts w:ascii="Arial" w:cs="Arial" w:eastAsia="Arial" w:hAnsi="Arial"/>
        <w:color w:val="777777"/>
        <w:sz w:val="18"/>
        <w:szCs w:val="18"/>
      </w:rPr>
      <w:t xml:space="preserve">Página </w:t>
    </w:r>
    <w:r>
      <w:rPr>
        <w:rFonts w:ascii="Arial" w:cs="Arial" w:eastAsia="Arial" w:hAnsi="Arial"/>
        <w:color w:val="777777"/>
        <w:sz w:val="18"/>
        <w:szCs w:val="18"/>
      </w:rPr>
      <w:fldChar w:fldCharType="begin"/>
      <w:instrText xml:space="preserve">PAGE</w:instrText>
      <w:fldChar w:fldCharType="separate"/>
      <w:fldChar w:fldCharType="end"/>
    </w:r>
    <w:r>
      <w:rPr>
        <w:rFonts w:ascii="Arial" w:cs="Arial" w:eastAsia="Arial" w:hAnsi="Arial"/>
        <w:color w:val="777777"/>
        <w:sz w:val="18"/>
        <w:szCs w:val="18"/>
      </w:rPr>
      <w:t xml:space="preserve"> de </w:t>
    </w:r>
    <w:r>
      <w:rPr>
        <w:rFonts w:ascii="Arial" w:cs="Arial" w:eastAsia="Arial" w:hAnsi="Arial"/>
        <w:color w:val="777777"/>
        <w:sz w:val="18"/>
        <w:szCs w:val="18"/>
      </w:rPr>
      <w:fldChar w:fldCharType="begin"/>
      <w:instrText xml:space="preserve">NUMPAGES</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pPr>
      <w:pBdr>
        <w:bottom w:val="single" w:color="2E75B6" w:sz="4" w:space="1"/>
      </w:pBdr>
    </w:pPr>
    <w:r>
      <w:rPr>
        <w:rFonts w:ascii="Arial" w:cs="Arial" w:eastAsia="Arial" w:hAnsi="Arial"/>
        <w:color w:val="777777"/>
        <w:sz w:val="18"/>
        <w:szCs w:val="18"/>
      </w:rPr>
      <w:t xml:space="preserve">ESTRATEGIA COMERCIAL — Patria Potestad y Formación Religiosa — </w:t>
    </w:r>
    <w:r>
      <w:rPr>
        <w:rFonts w:ascii="Arial" w:cs="Arial" w:eastAsia="Arial" w:hAnsi="Arial"/>
        <w:b/>
        <w:bCs/>
        <w:color w:val="777777"/>
        <w:sz w:val="18"/>
        <w:szCs w:val="18"/>
      </w:rPr>
      <w:t xml:space="preserve">Confidencial</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720" w:hanging="360"/>
      </w:pPr>
    </w:lvl>
  </w:abstractNum>
  <w:abstractNum w:abstractNumId="3" w15:restartNumberingAfterBreak="0">
    <w:multiLevelType w:val="hybridMultilevel"/>
    <w:lvl w:ilvl="0" w15:tentative="1">
      <w:start w:val="1"/>
      <w:numFmt w:val="decimal"/>
      <w:lvlText w:val="%1."/>
      <w:lvlJc w:val="left"/>
      <w:pPr>
        <w:ind w:left="720" w:hanging="360"/>
      </w:pPr>
    </w:lvl>
  </w:abstractNum>
  <w:num w:numId="1">
    <w:abstractNumId w:val="1"/>
    <w:lvlOverride w:ilvl="0">
      <w:startOverride w:val="1"/>
    </w:lvlOverride>
  </w:num>
  <w:num w:numId="2">
    <w:abstractNumId w:val="3"/>
    <w:lvlOverride w:ilvl="0">
      <w:startOverride w:val="1"/>
    </w:lvlOverride>
  </w:num>
  <w:num w:numId="3">
    <w:abstractNumId w:val="2"/>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180" w:before="360"/>
      <w:outlineLvl w:val="0"/>
    </w:pPr>
    <w:rPr>
      <w:rFonts w:ascii="Arial" w:cs="Arial" w:eastAsia="Arial" w:hAnsi="Arial"/>
      <w:b/>
      <w:bCs/>
      <w:color w:val="1F4E79"/>
      <w:sz w:val="36"/>
      <w:szCs w:val="36"/>
    </w:rPr>
  </w:style>
  <w:style w:type="paragraph" w:styleId="Heading2">
    <w:name w:val="Heading 2"/>
    <w:basedOn w:val="Normal"/>
    <w:next w:val="Normal"/>
    <w:qFormat/>
    <w:pPr>
      <w:spacing w:after="120" w:before="280"/>
      <w:outlineLvl w:val="1"/>
    </w:pPr>
    <w:rPr>
      <w:rFonts w:ascii="Arial" w:cs="Arial" w:eastAsia="Arial" w:hAnsi="Arial"/>
      <w:b/>
      <w:bCs/>
      <w:color w:val="2E75B6"/>
      <w:sz w:val="28"/>
      <w:szCs w:val="28"/>
    </w:rPr>
  </w:style>
  <w:style w:type="paragraph" w:styleId="Heading3">
    <w:name w:val="Heading 3"/>
    <w:basedOn w:val="Normal"/>
    <w:next w:val="Normal"/>
    <w:qFormat/>
    <w:pPr>
      <w:spacing w:after="80" w:before="200"/>
      <w:outlineLvl w:val="2"/>
    </w:pPr>
    <w:rPr>
      <w:rFonts w:ascii="Arial" w:cs="Arial" w:eastAsia="Arial" w:hAnsi="Arial"/>
      <w:b/>
      <w:bCs/>
      <w:color w:val="C55A11"/>
      <w:sz w:val="24"/>
      <w:szCs w:val="24"/>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word/_rels/header1.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2026-04-23T08:01:41.145Z</dcterms:created>
  <dcterms:modified xsi:type="dcterms:W3CDTF">2026-04-23T08:01:41.145Z</dcterms:modified>
</cp:coreProperties>
</file>

<file path=docProps/custom.xml><?xml version="1.0" encoding="utf-8"?>
<Properties xmlns="http://schemas.openxmlformats.org/officeDocument/2006/custom-properties" xmlns:vt="http://schemas.openxmlformats.org/officeDocument/2006/docPropsVTypes"/>
</file>